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7F0D" w14:textId="77777777" w:rsidR="009A501D" w:rsidRDefault="009A501D" w:rsidP="009A501D">
      <w:pPr>
        <w:spacing w:line="480" w:lineRule="auto"/>
        <w:jc w:val="center"/>
        <w:rPr>
          <w:rFonts w:ascii="Times New Roman" w:hAnsi="Times New Roman"/>
          <w:sz w:val="24"/>
          <w:szCs w:val="24"/>
        </w:rPr>
      </w:pPr>
    </w:p>
    <w:p w14:paraId="1CEC0FA2" w14:textId="77777777" w:rsidR="009A501D" w:rsidRDefault="009A501D" w:rsidP="009A501D">
      <w:pPr>
        <w:spacing w:line="480" w:lineRule="auto"/>
        <w:jc w:val="center"/>
        <w:rPr>
          <w:rFonts w:ascii="Times New Roman" w:hAnsi="Times New Roman"/>
          <w:sz w:val="24"/>
          <w:szCs w:val="24"/>
        </w:rPr>
      </w:pPr>
    </w:p>
    <w:p w14:paraId="272081B6" w14:textId="77777777" w:rsidR="009A501D" w:rsidRDefault="009A501D" w:rsidP="009A501D">
      <w:pPr>
        <w:spacing w:line="480" w:lineRule="auto"/>
        <w:jc w:val="center"/>
        <w:rPr>
          <w:rFonts w:ascii="Times New Roman" w:hAnsi="Times New Roman"/>
          <w:sz w:val="24"/>
          <w:szCs w:val="24"/>
        </w:rPr>
      </w:pPr>
    </w:p>
    <w:p w14:paraId="251CDE03" w14:textId="77777777" w:rsidR="009A501D" w:rsidRDefault="009A501D" w:rsidP="009A501D">
      <w:pPr>
        <w:spacing w:line="480" w:lineRule="auto"/>
        <w:jc w:val="center"/>
        <w:rPr>
          <w:rFonts w:ascii="Times New Roman" w:hAnsi="Times New Roman"/>
          <w:sz w:val="24"/>
          <w:szCs w:val="24"/>
        </w:rPr>
      </w:pPr>
    </w:p>
    <w:p w14:paraId="5F7DEA16" w14:textId="77777777" w:rsidR="009A501D" w:rsidRDefault="009A501D" w:rsidP="009A501D">
      <w:pPr>
        <w:spacing w:line="480" w:lineRule="auto"/>
        <w:jc w:val="center"/>
        <w:rPr>
          <w:rFonts w:ascii="Times New Roman" w:hAnsi="Times New Roman"/>
          <w:sz w:val="24"/>
          <w:szCs w:val="24"/>
        </w:rPr>
      </w:pPr>
    </w:p>
    <w:p w14:paraId="7C8A3564" w14:textId="77777777" w:rsidR="009A501D" w:rsidRDefault="009A501D" w:rsidP="009A501D">
      <w:pPr>
        <w:spacing w:line="480" w:lineRule="auto"/>
        <w:jc w:val="center"/>
        <w:rPr>
          <w:rFonts w:ascii="Times New Roman" w:hAnsi="Times New Roman"/>
          <w:sz w:val="24"/>
          <w:szCs w:val="24"/>
        </w:rPr>
      </w:pPr>
    </w:p>
    <w:p w14:paraId="5D2F30A4" w14:textId="77777777" w:rsidR="009A501D" w:rsidRDefault="009A501D" w:rsidP="009A501D">
      <w:pPr>
        <w:spacing w:line="480" w:lineRule="auto"/>
        <w:jc w:val="center"/>
        <w:rPr>
          <w:rFonts w:ascii="Times New Roman" w:hAnsi="Times New Roman"/>
          <w:sz w:val="24"/>
          <w:szCs w:val="24"/>
        </w:rPr>
      </w:pPr>
    </w:p>
    <w:p w14:paraId="7669F265" w14:textId="5C963F6E" w:rsidR="0063491E" w:rsidRDefault="00DC7E42" w:rsidP="009A501D">
      <w:pPr>
        <w:spacing w:line="480" w:lineRule="auto"/>
        <w:jc w:val="center"/>
        <w:rPr>
          <w:rFonts w:ascii="Times New Roman" w:hAnsi="Times New Roman"/>
          <w:b/>
          <w:bCs/>
          <w:sz w:val="24"/>
          <w:szCs w:val="24"/>
        </w:rPr>
      </w:pPr>
      <w:r w:rsidRPr="00353365">
        <w:rPr>
          <w:rFonts w:ascii="Times New Roman" w:hAnsi="Times New Roman"/>
          <w:b/>
          <w:bCs/>
          <w:sz w:val="24"/>
          <w:szCs w:val="24"/>
        </w:rPr>
        <w:t>Closing</w:t>
      </w:r>
      <w:r w:rsidR="0063491E" w:rsidRPr="00353365">
        <w:rPr>
          <w:rFonts w:ascii="Times New Roman" w:hAnsi="Times New Roman"/>
          <w:b/>
          <w:bCs/>
          <w:sz w:val="24"/>
          <w:szCs w:val="24"/>
        </w:rPr>
        <w:t xml:space="preserve"> Education Gap and Inequality in Indigenous Australian People</w:t>
      </w:r>
    </w:p>
    <w:p w14:paraId="0B0C423F" w14:textId="77777777" w:rsidR="00353365" w:rsidRPr="00353365" w:rsidRDefault="00353365" w:rsidP="009A501D">
      <w:pPr>
        <w:spacing w:line="480" w:lineRule="auto"/>
        <w:jc w:val="center"/>
        <w:rPr>
          <w:rFonts w:ascii="Times New Roman" w:hAnsi="Times New Roman"/>
          <w:b/>
          <w:bCs/>
          <w:sz w:val="24"/>
          <w:szCs w:val="24"/>
        </w:rPr>
      </w:pPr>
    </w:p>
    <w:p w14:paraId="5984FF55" w14:textId="77777777" w:rsidR="00D843DC" w:rsidRPr="009A501D" w:rsidRDefault="00D843DC" w:rsidP="009A501D">
      <w:pPr>
        <w:spacing w:line="480" w:lineRule="auto"/>
        <w:jc w:val="center"/>
        <w:rPr>
          <w:rFonts w:ascii="Times New Roman" w:hAnsi="Times New Roman"/>
          <w:sz w:val="24"/>
          <w:szCs w:val="24"/>
        </w:rPr>
      </w:pPr>
      <w:r w:rsidRPr="009A501D">
        <w:rPr>
          <w:rFonts w:ascii="Times New Roman" w:hAnsi="Times New Roman"/>
          <w:sz w:val="24"/>
          <w:szCs w:val="24"/>
        </w:rPr>
        <w:t>Student’s Name</w:t>
      </w:r>
    </w:p>
    <w:p w14:paraId="5E44366B" w14:textId="77777777" w:rsidR="00D843DC" w:rsidRPr="009A501D" w:rsidRDefault="00D843DC" w:rsidP="009A501D">
      <w:pPr>
        <w:spacing w:line="480" w:lineRule="auto"/>
        <w:jc w:val="center"/>
        <w:rPr>
          <w:rFonts w:ascii="Times New Roman" w:hAnsi="Times New Roman"/>
          <w:sz w:val="24"/>
          <w:szCs w:val="24"/>
        </w:rPr>
      </w:pPr>
      <w:r w:rsidRPr="009A501D">
        <w:rPr>
          <w:rFonts w:ascii="Times New Roman" w:hAnsi="Times New Roman"/>
          <w:sz w:val="24"/>
          <w:szCs w:val="24"/>
        </w:rPr>
        <w:t>University Affiliation</w:t>
      </w:r>
    </w:p>
    <w:p w14:paraId="79E89F34" w14:textId="77777777" w:rsidR="00D843DC" w:rsidRPr="009A501D" w:rsidRDefault="00D843DC" w:rsidP="009A501D">
      <w:pPr>
        <w:spacing w:line="480" w:lineRule="auto"/>
        <w:jc w:val="center"/>
        <w:rPr>
          <w:rFonts w:ascii="Times New Roman" w:hAnsi="Times New Roman"/>
          <w:sz w:val="24"/>
          <w:szCs w:val="24"/>
        </w:rPr>
      </w:pPr>
      <w:r w:rsidRPr="009A501D">
        <w:rPr>
          <w:rFonts w:ascii="Times New Roman" w:hAnsi="Times New Roman"/>
          <w:sz w:val="24"/>
          <w:szCs w:val="24"/>
        </w:rPr>
        <w:t>Course</w:t>
      </w:r>
    </w:p>
    <w:p w14:paraId="6C308327" w14:textId="7006DAF8" w:rsidR="00D843DC" w:rsidRDefault="00353365" w:rsidP="009A501D">
      <w:pPr>
        <w:spacing w:line="480" w:lineRule="auto"/>
        <w:jc w:val="center"/>
        <w:rPr>
          <w:rFonts w:ascii="Times New Roman" w:hAnsi="Times New Roman"/>
          <w:sz w:val="24"/>
          <w:szCs w:val="24"/>
        </w:rPr>
      </w:pPr>
      <w:r>
        <w:rPr>
          <w:rFonts w:ascii="Times New Roman" w:hAnsi="Times New Roman"/>
          <w:sz w:val="24"/>
          <w:szCs w:val="24"/>
        </w:rPr>
        <w:t>10/19/2022</w:t>
      </w:r>
    </w:p>
    <w:p w14:paraId="1C24535A" w14:textId="77777777" w:rsidR="009A501D" w:rsidRDefault="009A501D" w:rsidP="009A501D">
      <w:pPr>
        <w:spacing w:line="480" w:lineRule="auto"/>
        <w:jc w:val="center"/>
        <w:rPr>
          <w:rFonts w:ascii="Times New Roman" w:hAnsi="Times New Roman"/>
          <w:sz w:val="24"/>
          <w:szCs w:val="24"/>
        </w:rPr>
      </w:pPr>
    </w:p>
    <w:p w14:paraId="389E51A1" w14:textId="77777777" w:rsidR="009A501D" w:rsidRDefault="009A501D" w:rsidP="009A501D">
      <w:pPr>
        <w:spacing w:line="480" w:lineRule="auto"/>
        <w:jc w:val="center"/>
        <w:rPr>
          <w:rFonts w:ascii="Times New Roman" w:hAnsi="Times New Roman"/>
          <w:sz w:val="24"/>
          <w:szCs w:val="24"/>
        </w:rPr>
      </w:pPr>
    </w:p>
    <w:p w14:paraId="2CAE4E3A" w14:textId="77777777" w:rsidR="009A501D" w:rsidRDefault="009A501D" w:rsidP="009A501D">
      <w:pPr>
        <w:spacing w:line="480" w:lineRule="auto"/>
        <w:jc w:val="center"/>
        <w:rPr>
          <w:rFonts w:ascii="Times New Roman" w:hAnsi="Times New Roman"/>
          <w:sz w:val="24"/>
          <w:szCs w:val="24"/>
        </w:rPr>
      </w:pPr>
    </w:p>
    <w:p w14:paraId="35FBDE83" w14:textId="77777777" w:rsidR="009A501D" w:rsidRDefault="009A501D" w:rsidP="009A501D">
      <w:pPr>
        <w:spacing w:line="480" w:lineRule="auto"/>
        <w:jc w:val="center"/>
        <w:rPr>
          <w:rFonts w:ascii="Times New Roman" w:hAnsi="Times New Roman"/>
          <w:sz w:val="24"/>
          <w:szCs w:val="24"/>
        </w:rPr>
      </w:pPr>
    </w:p>
    <w:p w14:paraId="1A942075" w14:textId="77777777" w:rsidR="009A501D" w:rsidRDefault="009A501D" w:rsidP="009A501D">
      <w:pPr>
        <w:spacing w:line="480" w:lineRule="auto"/>
        <w:jc w:val="center"/>
        <w:rPr>
          <w:rFonts w:ascii="Times New Roman" w:hAnsi="Times New Roman"/>
          <w:sz w:val="24"/>
          <w:szCs w:val="24"/>
        </w:rPr>
      </w:pPr>
    </w:p>
    <w:p w14:paraId="3FADEC50" w14:textId="77777777" w:rsidR="009A501D" w:rsidRPr="009A501D" w:rsidRDefault="009A501D" w:rsidP="009A501D">
      <w:pPr>
        <w:spacing w:line="480" w:lineRule="auto"/>
        <w:jc w:val="center"/>
        <w:rPr>
          <w:rFonts w:ascii="Times New Roman" w:hAnsi="Times New Roman"/>
          <w:sz w:val="24"/>
          <w:szCs w:val="24"/>
        </w:rPr>
      </w:pPr>
    </w:p>
    <w:p w14:paraId="1FF9C01D" w14:textId="2F605AE0" w:rsidR="006E0B66" w:rsidRDefault="0063491E" w:rsidP="00A80270">
      <w:pPr>
        <w:spacing w:line="480" w:lineRule="auto"/>
        <w:jc w:val="center"/>
        <w:rPr>
          <w:rFonts w:ascii="Times New Roman" w:hAnsi="Times New Roman"/>
          <w:b/>
          <w:bCs/>
          <w:sz w:val="24"/>
          <w:szCs w:val="24"/>
        </w:rPr>
      </w:pPr>
      <w:r w:rsidRPr="009A501D">
        <w:rPr>
          <w:rFonts w:ascii="Times New Roman" w:hAnsi="Times New Roman"/>
          <w:b/>
          <w:bCs/>
          <w:sz w:val="24"/>
          <w:szCs w:val="24"/>
        </w:rPr>
        <w:lastRenderedPageBreak/>
        <w:t>Introduction</w:t>
      </w:r>
    </w:p>
    <w:p w14:paraId="1E8B1FB0" w14:textId="7026C568" w:rsidR="000859FA" w:rsidRPr="009A501D" w:rsidRDefault="000859FA" w:rsidP="000859FA">
      <w:pPr>
        <w:spacing w:line="480" w:lineRule="auto"/>
        <w:ind w:firstLine="720"/>
        <w:rPr>
          <w:rFonts w:ascii="Times New Roman" w:hAnsi="Times New Roman"/>
          <w:b/>
          <w:bCs/>
          <w:sz w:val="24"/>
          <w:szCs w:val="24"/>
        </w:rPr>
      </w:pPr>
      <w:r>
        <w:rPr>
          <w:rFonts w:ascii="Times New Roman" w:hAnsi="Times New Roman"/>
          <w:b/>
          <w:bCs/>
          <w:sz w:val="24"/>
          <w:szCs w:val="24"/>
        </w:rPr>
        <w:t>Topic Background</w:t>
      </w:r>
    </w:p>
    <w:p w14:paraId="4B4BEBB5" w14:textId="77777777" w:rsidR="001814C5" w:rsidRPr="009A501D" w:rsidRDefault="00C27A45" w:rsidP="00FB17F5">
      <w:pPr>
        <w:spacing w:line="480" w:lineRule="auto"/>
        <w:rPr>
          <w:rFonts w:ascii="Times New Roman" w:hAnsi="Times New Roman"/>
          <w:sz w:val="24"/>
          <w:szCs w:val="24"/>
        </w:rPr>
      </w:pPr>
      <w:r w:rsidRPr="009A501D">
        <w:rPr>
          <w:rFonts w:ascii="Times New Roman" w:hAnsi="Times New Roman"/>
          <w:sz w:val="24"/>
          <w:szCs w:val="24"/>
        </w:rPr>
        <w:t xml:space="preserve">The presence of complex and interrelated social, employment and health outcomes has </w:t>
      </w:r>
      <w:r w:rsidR="00D12B63" w:rsidRPr="009A501D">
        <w:rPr>
          <w:rFonts w:ascii="Times New Roman" w:hAnsi="Times New Roman"/>
          <w:sz w:val="24"/>
          <w:szCs w:val="24"/>
        </w:rPr>
        <w:t>compounded</w:t>
      </w:r>
      <w:r w:rsidRPr="009A501D">
        <w:rPr>
          <w:rFonts w:ascii="Times New Roman" w:hAnsi="Times New Roman"/>
          <w:sz w:val="24"/>
          <w:szCs w:val="24"/>
        </w:rPr>
        <w:t xml:space="preserve"> the issue </w:t>
      </w:r>
      <w:r w:rsidR="00C6161A" w:rsidRPr="009A501D">
        <w:rPr>
          <w:rFonts w:ascii="Times New Roman" w:hAnsi="Times New Roman"/>
          <w:sz w:val="24"/>
          <w:szCs w:val="24"/>
        </w:rPr>
        <w:t>of ascertaining</w:t>
      </w:r>
      <w:r w:rsidR="00421D22" w:rsidRPr="009A501D">
        <w:rPr>
          <w:rFonts w:ascii="Times New Roman" w:hAnsi="Times New Roman"/>
          <w:sz w:val="24"/>
          <w:szCs w:val="24"/>
        </w:rPr>
        <w:t xml:space="preserve"> public policy challenges in Australia. The nature of </w:t>
      </w:r>
      <w:r w:rsidR="004E1E62">
        <w:rPr>
          <w:rFonts w:ascii="Times New Roman" w:hAnsi="Times New Roman"/>
          <w:sz w:val="24"/>
          <w:szCs w:val="24"/>
        </w:rPr>
        <w:t xml:space="preserve">the </w:t>
      </w:r>
      <w:r w:rsidR="00421D22" w:rsidRPr="009A501D">
        <w:rPr>
          <w:rFonts w:ascii="Times New Roman" w:hAnsi="Times New Roman"/>
          <w:sz w:val="24"/>
          <w:szCs w:val="24"/>
        </w:rPr>
        <w:t xml:space="preserve">response creates a disadvantage that has often faced the </w:t>
      </w:r>
      <w:r w:rsidR="009562AB" w:rsidRPr="009A501D">
        <w:rPr>
          <w:rFonts w:ascii="Times New Roman" w:hAnsi="Times New Roman"/>
          <w:sz w:val="24"/>
          <w:szCs w:val="24"/>
        </w:rPr>
        <w:t>Indigenous</w:t>
      </w:r>
      <w:r w:rsidR="00421D22" w:rsidRPr="009A501D">
        <w:rPr>
          <w:rFonts w:ascii="Times New Roman" w:hAnsi="Times New Roman"/>
          <w:sz w:val="24"/>
          <w:szCs w:val="24"/>
        </w:rPr>
        <w:t xml:space="preserve"> </w:t>
      </w:r>
      <w:r w:rsidR="009562AB" w:rsidRPr="009A501D">
        <w:rPr>
          <w:rFonts w:ascii="Times New Roman" w:hAnsi="Times New Roman"/>
          <w:sz w:val="24"/>
          <w:szCs w:val="24"/>
        </w:rPr>
        <w:t>Australian</w:t>
      </w:r>
      <w:r w:rsidR="00421D22" w:rsidRPr="009A501D">
        <w:rPr>
          <w:rFonts w:ascii="Times New Roman" w:hAnsi="Times New Roman"/>
          <w:sz w:val="24"/>
          <w:szCs w:val="24"/>
        </w:rPr>
        <w:t>, as the increasing limited understanding of finding solutions to close societal gaps between non-</w:t>
      </w:r>
      <w:r w:rsidR="009562AB" w:rsidRPr="009A501D">
        <w:rPr>
          <w:rFonts w:ascii="Times New Roman" w:hAnsi="Times New Roman"/>
          <w:sz w:val="24"/>
          <w:szCs w:val="24"/>
        </w:rPr>
        <w:t>indigenous</w:t>
      </w:r>
      <w:r w:rsidR="00421D22" w:rsidRPr="009A501D">
        <w:rPr>
          <w:rFonts w:ascii="Times New Roman" w:hAnsi="Times New Roman"/>
          <w:sz w:val="24"/>
          <w:szCs w:val="24"/>
        </w:rPr>
        <w:t xml:space="preserve"> is overrun by both international and national high</w:t>
      </w:r>
      <w:r w:rsidR="00C6161A" w:rsidRPr="009A501D">
        <w:rPr>
          <w:rFonts w:ascii="Times New Roman" w:hAnsi="Times New Roman"/>
          <w:sz w:val="24"/>
          <w:szCs w:val="24"/>
        </w:rPr>
        <w:t>-</w:t>
      </w:r>
      <w:r w:rsidR="00421D22" w:rsidRPr="009A501D">
        <w:rPr>
          <w:rFonts w:ascii="Times New Roman" w:hAnsi="Times New Roman"/>
          <w:sz w:val="24"/>
          <w:szCs w:val="24"/>
        </w:rPr>
        <w:t>stakes standards</w:t>
      </w:r>
      <w:r w:rsidR="009F6BBE" w:rsidRPr="009A501D">
        <w:rPr>
          <w:rFonts w:ascii="Times New Roman" w:hAnsi="Times New Roman"/>
          <w:sz w:val="24"/>
          <w:szCs w:val="24"/>
        </w:rPr>
        <w:t xml:space="preserve"> </w:t>
      </w:r>
      <w:r w:rsidR="009F6BBE" w:rsidRPr="009A501D">
        <w:rPr>
          <w:rFonts w:ascii="Times New Roman" w:hAnsi="Times New Roman"/>
          <w:color w:val="222222"/>
          <w:sz w:val="24"/>
          <w:szCs w:val="24"/>
          <w:shd w:val="clear" w:color="auto" w:fill="FFFFFF"/>
        </w:rPr>
        <w:t>(Fahey, 2021)</w:t>
      </w:r>
      <w:r w:rsidR="00421D22" w:rsidRPr="009A501D">
        <w:rPr>
          <w:rFonts w:ascii="Times New Roman" w:hAnsi="Times New Roman"/>
          <w:sz w:val="24"/>
          <w:szCs w:val="24"/>
        </w:rPr>
        <w:t>.</w:t>
      </w:r>
      <w:r w:rsidR="009562AB" w:rsidRPr="009A501D">
        <w:rPr>
          <w:rFonts w:ascii="Times New Roman" w:hAnsi="Times New Roman"/>
          <w:sz w:val="24"/>
          <w:szCs w:val="24"/>
        </w:rPr>
        <w:t xml:space="preserve"> The educational </w:t>
      </w:r>
      <w:r w:rsidR="00D12B63" w:rsidRPr="009A501D">
        <w:rPr>
          <w:rFonts w:ascii="Times New Roman" w:hAnsi="Times New Roman"/>
          <w:sz w:val="24"/>
          <w:szCs w:val="24"/>
        </w:rPr>
        <w:t>landscape</w:t>
      </w:r>
      <w:r w:rsidR="009562AB" w:rsidRPr="009A501D">
        <w:rPr>
          <w:rFonts w:ascii="Times New Roman" w:hAnsi="Times New Roman"/>
          <w:sz w:val="24"/>
          <w:szCs w:val="24"/>
        </w:rPr>
        <w:t xml:space="preserve"> thus disadvantages those with weak socio-economic status, a preemptive strike that yet denies all Australians an equal chance for educational opportunities.</w:t>
      </w:r>
      <w:r w:rsidR="00D12B63" w:rsidRPr="009A501D">
        <w:rPr>
          <w:rFonts w:ascii="Times New Roman" w:hAnsi="Times New Roman"/>
          <w:sz w:val="24"/>
          <w:szCs w:val="24"/>
        </w:rPr>
        <w:t xml:space="preserve"> </w:t>
      </w:r>
      <w:r w:rsidR="00C6161A" w:rsidRPr="009A501D">
        <w:rPr>
          <w:rFonts w:ascii="Times New Roman" w:hAnsi="Times New Roman"/>
          <w:sz w:val="24"/>
          <w:szCs w:val="24"/>
        </w:rPr>
        <w:t>The drive for improved quality, high standards, and excellence in changing the nature and outcome of education failure match</w:t>
      </w:r>
      <w:r w:rsidR="00077F16" w:rsidRPr="009A501D">
        <w:rPr>
          <w:rFonts w:ascii="Times New Roman" w:hAnsi="Times New Roman"/>
          <w:sz w:val="24"/>
          <w:szCs w:val="24"/>
        </w:rPr>
        <w:t xml:space="preserve"> the limited </w:t>
      </w:r>
      <w:r w:rsidR="006E4C2A" w:rsidRPr="009A501D">
        <w:rPr>
          <w:rFonts w:ascii="Times New Roman" w:hAnsi="Times New Roman"/>
          <w:sz w:val="24"/>
          <w:szCs w:val="24"/>
        </w:rPr>
        <w:t>resources</w:t>
      </w:r>
      <w:r w:rsidR="00077F16" w:rsidRPr="009A501D">
        <w:rPr>
          <w:rFonts w:ascii="Times New Roman" w:hAnsi="Times New Roman"/>
          <w:sz w:val="24"/>
          <w:szCs w:val="24"/>
        </w:rPr>
        <w:t xml:space="preserve"> to the </w:t>
      </w:r>
      <w:r w:rsidR="006E4C2A" w:rsidRPr="009A501D">
        <w:rPr>
          <w:rFonts w:ascii="Times New Roman" w:hAnsi="Times New Roman"/>
          <w:sz w:val="24"/>
          <w:szCs w:val="24"/>
        </w:rPr>
        <w:t>understanding</w:t>
      </w:r>
      <w:r w:rsidR="00077F16" w:rsidRPr="009A501D">
        <w:rPr>
          <w:rFonts w:ascii="Times New Roman" w:hAnsi="Times New Roman"/>
          <w:sz w:val="24"/>
          <w:szCs w:val="24"/>
        </w:rPr>
        <w:t xml:space="preserve"> of closing the educational gap.</w:t>
      </w:r>
      <w:r w:rsidR="0062737C" w:rsidRPr="009A501D">
        <w:rPr>
          <w:rFonts w:ascii="Times New Roman" w:hAnsi="Times New Roman"/>
          <w:sz w:val="24"/>
          <w:szCs w:val="24"/>
        </w:rPr>
        <w:t xml:space="preserve"> </w:t>
      </w:r>
      <w:r w:rsidR="00366EE4" w:rsidRPr="009A501D">
        <w:rPr>
          <w:rFonts w:ascii="Times New Roman" w:hAnsi="Times New Roman"/>
          <w:sz w:val="24"/>
          <w:szCs w:val="24"/>
        </w:rPr>
        <w:t xml:space="preserve">Formal </w:t>
      </w:r>
      <w:r w:rsidR="00E0422E" w:rsidRPr="009A501D">
        <w:rPr>
          <w:rFonts w:ascii="Times New Roman" w:hAnsi="Times New Roman"/>
          <w:sz w:val="24"/>
          <w:szCs w:val="24"/>
        </w:rPr>
        <w:t>schooling,</w:t>
      </w:r>
      <w:r w:rsidR="00366EE4" w:rsidRPr="009A501D">
        <w:rPr>
          <w:rFonts w:ascii="Times New Roman" w:hAnsi="Times New Roman"/>
          <w:sz w:val="24"/>
          <w:szCs w:val="24"/>
        </w:rPr>
        <w:t xml:space="preserve"> further </w:t>
      </w:r>
      <w:r w:rsidR="00E0422E" w:rsidRPr="009A501D">
        <w:rPr>
          <w:rFonts w:ascii="Times New Roman" w:hAnsi="Times New Roman"/>
          <w:sz w:val="24"/>
          <w:szCs w:val="24"/>
        </w:rPr>
        <w:t>education, training</w:t>
      </w:r>
      <w:r w:rsidR="00C6161A" w:rsidRPr="009A501D">
        <w:rPr>
          <w:rFonts w:ascii="Times New Roman" w:hAnsi="Times New Roman"/>
          <w:sz w:val="24"/>
          <w:szCs w:val="24"/>
        </w:rPr>
        <w:t>,</w:t>
      </w:r>
      <w:r w:rsidR="00366EE4" w:rsidRPr="009A501D">
        <w:rPr>
          <w:rFonts w:ascii="Times New Roman" w:hAnsi="Times New Roman"/>
          <w:sz w:val="24"/>
          <w:szCs w:val="24"/>
        </w:rPr>
        <w:t xml:space="preserve"> and employment </w:t>
      </w:r>
      <w:r w:rsidR="00893B87" w:rsidRPr="009A501D">
        <w:rPr>
          <w:rFonts w:ascii="Times New Roman" w:hAnsi="Times New Roman"/>
          <w:sz w:val="24"/>
          <w:szCs w:val="24"/>
        </w:rPr>
        <w:t>opportunities</w:t>
      </w:r>
      <w:r w:rsidR="00366EE4" w:rsidRPr="009A501D">
        <w:rPr>
          <w:rFonts w:ascii="Times New Roman" w:hAnsi="Times New Roman"/>
          <w:sz w:val="24"/>
          <w:szCs w:val="24"/>
        </w:rPr>
        <w:t xml:space="preserve"> provide a full</w:t>
      </w:r>
      <w:r w:rsidR="00C6161A" w:rsidRPr="009A501D">
        <w:rPr>
          <w:rFonts w:ascii="Times New Roman" w:hAnsi="Times New Roman"/>
          <w:sz w:val="24"/>
          <w:szCs w:val="24"/>
        </w:rPr>
        <w:t xml:space="preserve"> </w:t>
      </w:r>
      <w:r w:rsidR="00366EE4" w:rsidRPr="009A501D">
        <w:rPr>
          <w:rFonts w:ascii="Times New Roman" w:hAnsi="Times New Roman"/>
          <w:sz w:val="24"/>
          <w:szCs w:val="24"/>
        </w:rPr>
        <w:t xml:space="preserve">range of necessary </w:t>
      </w:r>
      <w:r w:rsidR="00E0422E" w:rsidRPr="009A501D">
        <w:rPr>
          <w:rFonts w:ascii="Times New Roman" w:hAnsi="Times New Roman"/>
          <w:sz w:val="24"/>
          <w:szCs w:val="24"/>
        </w:rPr>
        <w:t>precursor skills</w:t>
      </w:r>
      <w:r w:rsidR="00366EE4" w:rsidRPr="009A501D">
        <w:rPr>
          <w:rFonts w:ascii="Times New Roman" w:hAnsi="Times New Roman"/>
          <w:sz w:val="24"/>
          <w:szCs w:val="24"/>
        </w:rPr>
        <w:t xml:space="preserve"> to alleviat</w:t>
      </w:r>
      <w:r w:rsidR="00C6161A" w:rsidRPr="009A501D">
        <w:rPr>
          <w:rFonts w:ascii="Times New Roman" w:hAnsi="Times New Roman"/>
          <w:sz w:val="24"/>
          <w:szCs w:val="24"/>
        </w:rPr>
        <w:t>e</w:t>
      </w:r>
      <w:r w:rsidR="00366EE4" w:rsidRPr="009A501D">
        <w:rPr>
          <w:rFonts w:ascii="Times New Roman" w:hAnsi="Times New Roman"/>
          <w:sz w:val="24"/>
          <w:szCs w:val="24"/>
        </w:rPr>
        <w:t xml:space="preserve"> the social disadvantages faced by </w:t>
      </w:r>
      <w:r w:rsidR="00893B87" w:rsidRPr="009A501D">
        <w:rPr>
          <w:rFonts w:ascii="Times New Roman" w:hAnsi="Times New Roman"/>
          <w:sz w:val="24"/>
          <w:szCs w:val="24"/>
        </w:rPr>
        <w:t>indigenous</w:t>
      </w:r>
      <w:r w:rsidR="00366EE4" w:rsidRPr="009A501D">
        <w:rPr>
          <w:rFonts w:ascii="Times New Roman" w:hAnsi="Times New Roman"/>
          <w:sz w:val="24"/>
          <w:szCs w:val="24"/>
        </w:rPr>
        <w:t xml:space="preserve"> </w:t>
      </w:r>
      <w:r w:rsidR="001814C5" w:rsidRPr="009A501D">
        <w:rPr>
          <w:rFonts w:ascii="Times New Roman" w:hAnsi="Times New Roman"/>
          <w:sz w:val="24"/>
          <w:szCs w:val="24"/>
        </w:rPr>
        <w:t>societies</w:t>
      </w:r>
      <w:r w:rsidR="00366EE4" w:rsidRPr="009A501D">
        <w:rPr>
          <w:rFonts w:ascii="Times New Roman" w:hAnsi="Times New Roman"/>
          <w:sz w:val="24"/>
          <w:szCs w:val="24"/>
        </w:rPr>
        <w:t>.</w:t>
      </w:r>
      <w:r w:rsidR="001814C5" w:rsidRPr="009A501D">
        <w:rPr>
          <w:rFonts w:ascii="Times New Roman" w:hAnsi="Times New Roman"/>
          <w:sz w:val="24"/>
          <w:szCs w:val="24"/>
        </w:rPr>
        <w:t xml:space="preserve"> </w:t>
      </w:r>
    </w:p>
    <w:p w14:paraId="3A9E4A0F" w14:textId="1E0201DD" w:rsidR="003272CF" w:rsidRDefault="00FA2872" w:rsidP="00FB17F5">
      <w:pPr>
        <w:spacing w:line="480" w:lineRule="auto"/>
        <w:rPr>
          <w:rFonts w:ascii="Times New Roman" w:hAnsi="Times New Roman"/>
          <w:sz w:val="24"/>
          <w:szCs w:val="24"/>
        </w:rPr>
      </w:pPr>
      <w:r w:rsidRPr="00FA2872">
        <w:rPr>
          <w:rFonts w:ascii="Times New Roman" w:hAnsi="Times New Roman"/>
          <w:sz w:val="24"/>
          <w:szCs w:val="24"/>
        </w:rPr>
        <w:t>Gray, Hunter &amp; Schwab (2018)</w:t>
      </w:r>
      <w:r w:rsidR="001814C5" w:rsidRPr="009A501D">
        <w:rPr>
          <w:rFonts w:ascii="Times New Roman" w:hAnsi="Times New Roman"/>
          <w:sz w:val="24"/>
          <w:szCs w:val="24"/>
        </w:rPr>
        <w:t xml:space="preserve"> decrees the insistence of education </w:t>
      </w:r>
      <w:r w:rsidR="00C6161A" w:rsidRPr="009A501D">
        <w:rPr>
          <w:rFonts w:ascii="Times New Roman" w:hAnsi="Times New Roman"/>
          <w:sz w:val="24"/>
          <w:szCs w:val="24"/>
        </w:rPr>
        <w:t>i</w:t>
      </w:r>
      <w:r w:rsidR="001814C5" w:rsidRPr="009A501D">
        <w:rPr>
          <w:rFonts w:ascii="Times New Roman" w:hAnsi="Times New Roman"/>
          <w:sz w:val="24"/>
          <w:szCs w:val="24"/>
        </w:rPr>
        <w:t xml:space="preserve">s </w:t>
      </w:r>
      <w:r w:rsidR="009D4F6E" w:rsidRPr="009A501D">
        <w:rPr>
          <w:rFonts w:ascii="Times New Roman" w:hAnsi="Times New Roman"/>
          <w:sz w:val="24"/>
          <w:szCs w:val="24"/>
        </w:rPr>
        <w:t>the</w:t>
      </w:r>
      <w:r w:rsidR="001814C5" w:rsidRPr="009A501D">
        <w:rPr>
          <w:rFonts w:ascii="Times New Roman" w:hAnsi="Times New Roman"/>
          <w:sz w:val="24"/>
          <w:szCs w:val="24"/>
        </w:rPr>
        <w:t xml:space="preserve"> </w:t>
      </w:r>
      <w:r w:rsidR="00C6161A" w:rsidRPr="009A501D">
        <w:rPr>
          <w:rFonts w:ascii="Times New Roman" w:hAnsi="Times New Roman"/>
          <w:sz w:val="24"/>
          <w:szCs w:val="24"/>
        </w:rPr>
        <w:t>most significan</w:t>
      </w:r>
      <w:r w:rsidR="001814C5" w:rsidRPr="009A501D">
        <w:rPr>
          <w:rFonts w:ascii="Times New Roman" w:hAnsi="Times New Roman"/>
          <w:sz w:val="24"/>
          <w:szCs w:val="24"/>
        </w:rPr>
        <w:t>t factor that improves employment outcome</w:t>
      </w:r>
      <w:r w:rsidR="00C6161A" w:rsidRPr="009A501D">
        <w:rPr>
          <w:rFonts w:ascii="Times New Roman" w:hAnsi="Times New Roman"/>
          <w:sz w:val="24"/>
          <w:szCs w:val="24"/>
        </w:rPr>
        <w:t>s</w:t>
      </w:r>
      <w:r w:rsidR="001814C5" w:rsidRPr="009A501D">
        <w:rPr>
          <w:rFonts w:ascii="Times New Roman" w:hAnsi="Times New Roman"/>
          <w:sz w:val="24"/>
          <w:szCs w:val="24"/>
        </w:rPr>
        <w:t xml:space="preserve"> for all Australian communities</w:t>
      </w:r>
      <w:r w:rsidR="00C6161A" w:rsidRPr="009A501D">
        <w:rPr>
          <w:rFonts w:ascii="Times New Roman" w:hAnsi="Times New Roman"/>
          <w:sz w:val="24"/>
          <w:szCs w:val="24"/>
        </w:rPr>
        <w:t>.</w:t>
      </w:r>
      <w:r w:rsidR="001814C5" w:rsidRPr="009A501D">
        <w:rPr>
          <w:rFonts w:ascii="Times New Roman" w:hAnsi="Times New Roman"/>
          <w:sz w:val="24"/>
          <w:szCs w:val="24"/>
        </w:rPr>
        <w:t xml:space="preserve"> </w:t>
      </w:r>
      <w:r w:rsidR="00E032D5" w:rsidRPr="00E032D5">
        <w:rPr>
          <w:rFonts w:ascii="Times New Roman" w:hAnsi="Times New Roman"/>
          <w:sz w:val="24"/>
          <w:szCs w:val="24"/>
        </w:rPr>
        <w:t>Malin &amp; Maidment (2003)</w:t>
      </w:r>
      <w:r w:rsidR="00E032D5">
        <w:rPr>
          <w:rFonts w:ascii="Times New Roman" w:hAnsi="Times New Roman"/>
          <w:sz w:val="24"/>
          <w:szCs w:val="24"/>
        </w:rPr>
        <w:t xml:space="preserve"> </w:t>
      </w:r>
      <w:r w:rsidR="001814C5" w:rsidRPr="009A501D">
        <w:rPr>
          <w:rFonts w:ascii="Times New Roman" w:hAnsi="Times New Roman"/>
          <w:sz w:val="24"/>
          <w:szCs w:val="24"/>
        </w:rPr>
        <w:t xml:space="preserve">signifies that education will aid </w:t>
      </w:r>
      <w:r w:rsidR="00C6161A" w:rsidRPr="009A501D">
        <w:rPr>
          <w:rFonts w:ascii="Times New Roman" w:hAnsi="Times New Roman"/>
          <w:sz w:val="24"/>
          <w:szCs w:val="24"/>
        </w:rPr>
        <w:t>Indigenous Australians</w:t>
      </w:r>
      <w:r w:rsidR="004E1E62">
        <w:rPr>
          <w:rFonts w:ascii="Times New Roman" w:hAnsi="Times New Roman"/>
          <w:sz w:val="24"/>
          <w:szCs w:val="24"/>
        </w:rPr>
        <w:t>’</w:t>
      </w:r>
      <w:r w:rsidR="00C6161A" w:rsidRPr="009A501D">
        <w:rPr>
          <w:rFonts w:ascii="Times New Roman" w:hAnsi="Times New Roman"/>
          <w:sz w:val="24"/>
          <w:szCs w:val="24"/>
        </w:rPr>
        <w:t xml:space="preserve"> social incorporation</w:t>
      </w:r>
      <w:r w:rsidR="001814C5" w:rsidRPr="009A501D">
        <w:rPr>
          <w:rFonts w:ascii="Times New Roman" w:hAnsi="Times New Roman"/>
          <w:sz w:val="24"/>
          <w:szCs w:val="24"/>
        </w:rPr>
        <w:t xml:space="preserve"> in classes and </w:t>
      </w:r>
      <w:r w:rsidR="00C6161A" w:rsidRPr="009A501D">
        <w:rPr>
          <w:rFonts w:ascii="Times New Roman" w:hAnsi="Times New Roman"/>
          <w:sz w:val="24"/>
          <w:szCs w:val="24"/>
        </w:rPr>
        <w:t>enhanc</w:t>
      </w:r>
      <w:r w:rsidR="001814C5" w:rsidRPr="009A501D">
        <w:rPr>
          <w:rFonts w:ascii="Times New Roman" w:hAnsi="Times New Roman"/>
          <w:sz w:val="24"/>
          <w:szCs w:val="24"/>
        </w:rPr>
        <w:t xml:space="preserve">e their social consensus and health. </w:t>
      </w:r>
      <w:r w:rsidR="00C508A2" w:rsidRPr="009A501D">
        <w:rPr>
          <w:rFonts w:ascii="Times New Roman" w:hAnsi="Times New Roman"/>
          <w:sz w:val="24"/>
          <w:szCs w:val="24"/>
        </w:rPr>
        <w:t xml:space="preserve">With education providing </w:t>
      </w:r>
      <w:r w:rsidR="00C6161A" w:rsidRPr="009A501D">
        <w:rPr>
          <w:rFonts w:ascii="Times New Roman" w:hAnsi="Times New Roman"/>
          <w:sz w:val="24"/>
          <w:szCs w:val="24"/>
        </w:rPr>
        <w:t>the</w:t>
      </w:r>
      <w:r w:rsidR="00C508A2" w:rsidRPr="009A501D">
        <w:rPr>
          <w:rFonts w:ascii="Times New Roman" w:hAnsi="Times New Roman"/>
          <w:sz w:val="24"/>
          <w:szCs w:val="24"/>
        </w:rPr>
        <w:t xml:space="preserve"> key to self-determination and equal participation in society, </w:t>
      </w:r>
      <w:r w:rsidR="001B6196" w:rsidRPr="009A501D">
        <w:rPr>
          <w:rFonts w:ascii="Times New Roman" w:hAnsi="Times New Roman"/>
          <w:sz w:val="24"/>
          <w:szCs w:val="24"/>
        </w:rPr>
        <w:t>Indigenous</w:t>
      </w:r>
      <w:r w:rsidR="00C508A2" w:rsidRPr="009A501D">
        <w:rPr>
          <w:rFonts w:ascii="Times New Roman" w:hAnsi="Times New Roman"/>
          <w:sz w:val="24"/>
          <w:szCs w:val="24"/>
        </w:rPr>
        <w:t xml:space="preserve"> Australian</w:t>
      </w:r>
      <w:r w:rsidR="00C6161A" w:rsidRPr="009A501D">
        <w:rPr>
          <w:rFonts w:ascii="Times New Roman" w:hAnsi="Times New Roman"/>
          <w:sz w:val="24"/>
          <w:szCs w:val="24"/>
        </w:rPr>
        <w:t>s</w:t>
      </w:r>
      <w:r w:rsidR="004E1E62">
        <w:rPr>
          <w:rFonts w:ascii="Times New Roman" w:hAnsi="Times New Roman"/>
          <w:sz w:val="24"/>
          <w:szCs w:val="24"/>
        </w:rPr>
        <w:t>’</w:t>
      </w:r>
      <w:r w:rsidR="00C508A2" w:rsidRPr="009A501D">
        <w:rPr>
          <w:rFonts w:ascii="Times New Roman" w:hAnsi="Times New Roman"/>
          <w:sz w:val="24"/>
          <w:szCs w:val="24"/>
        </w:rPr>
        <w:t xml:space="preserve"> </w:t>
      </w:r>
      <w:r w:rsidR="00DB5CA5" w:rsidRPr="009A501D">
        <w:rPr>
          <w:rFonts w:ascii="Times New Roman" w:hAnsi="Times New Roman"/>
          <w:sz w:val="24"/>
          <w:szCs w:val="24"/>
        </w:rPr>
        <w:t xml:space="preserve">benefits are yet to be realized as participation, access to, and retention in education showcases </w:t>
      </w:r>
      <w:r w:rsidR="00C6161A" w:rsidRPr="009A501D">
        <w:rPr>
          <w:rFonts w:ascii="Times New Roman" w:hAnsi="Times New Roman"/>
          <w:sz w:val="24"/>
          <w:szCs w:val="24"/>
        </w:rPr>
        <w:t>i</w:t>
      </w:r>
      <w:r w:rsidR="00E77FDC" w:rsidRPr="009A501D">
        <w:rPr>
          <w:rFonts w:ascii="Times New Roman" w:hAnsi="Times New Roman"/>
          <w:sz w:val="24"/>
          <w:szCs w:val="24"/>
        </w:rPr>
        <w:t>nequitable</w:t>
      </w:r>
      <w:r w:rsidR="00DB5CA5" w:rsidRPr="009A501D">
        <w:rPr>
          <w:rFonts w:ascii="Times New Roman" w:hAnsi="Times New Roman"/>
          <w:sz w:val="24"/>
          <w:szCs w:val="24"/>
        </w:rPr>
        <w:t xml:space="preserve"> outcomes. </w:t>
      </w:r>
      <w:r w:rsidR="00E77FDC" w:rsidRPr="009A501D">
        <w:rPr>
          <w:rFonts w:ascii="Times New Roman" w:hAnsi="Times New Roman"/>
          <w:sz w:val="24"/>
          <w:szCs w:val="24"/>
        </w:rPr>
        <w:t xml:space="preserve">The advancing nature of global decolonization accentuates increased </w:t>
      </w:r>
      <w:r w:rsidR="001B6196" w:rsidRPr="009A501D">
        <w:rPr>
          <w:rFonts w:ascii="Times New Roman" w:hAnsi="Times New Roman"/>
          <w:sz w:val="24"/>
          <w:szCs w:val="24"/>
        </w:rPr>
        <w:t>opportunities</w:t>
      </w:r>
      <w:r w:rsidR="00E77FDC" w:rsidRPr="009A501D">
        <w:rPr>
          <w:rFonts w:ascii="Times New Roman" w:hAnsi="Times New Roman"/>
          <w:sz w:val="24"/>
          <w:szCs w:val="24"/>
        </w:rPr>
        <w:t xml:space="preserve"> to access </w:t>
      </w:r>
      <w:r w:rsidR="001B6196" w:rsidRPr="009A501D">
        <w:rPr>
          <w:rFonts w:ascii="Times New Roman" w:hAnsi="Times New Roman"/>
          <w:sz w:val="24"/>
          <w:szCs w:val="24"/>
        </w:rPr>
        <w:t>resources</w:t>
      </w:r>
      <w:r w:rsidR="00E77FDC" w:rsidRPr="009A501D">
        <w:rPr>
          <w:rFonts w:ascii="Times New Roman" w:hAnsi="Times New Roman"/>
          <w:sz w:val="24"/>
          <w:szCs w:val="24"/>
        </w:rPr>
        <w:t xml:space="preserve"> that were otherwise restricted</w:t>
      </w:r>
      <w:r w:rsidR="000B5958" w:rsidRPr="009A501D">
        <w:rPr>
          <w:rFonts w:ascii="Times New Roman" w:hAnsi="Times New Roman"/>
          <w:sz w:val="24"/>
          <w:szCs w:val="24"/>
        </w:rPr>
        <w:t xml:space="preserve"> (Rudolph, 2011)</w:t>
      </w:r>
      <w:r w:rsidR="00C6161A" w:rsidRPr="009A501D">
        <w:rPr>
          <w:rFonts w:ascii="Times New Roman" w:hAnsi="Times New Roman"/>
          <w:sz w:val="24"/>
          <w:szCs w:val="24"/>
        </w:rPr>
        <w:t>. T</w:t>
      </w:r>
      <w:r w:rsidR="00E77FDC" w:rsidRPr="009A501D">
        <w:rPr>
          <w:rFonts w:ascii="Times New Roman" w:hAnsi="Times New Roman"/>
          <w:sz w:val="24"/>
          <w:szCs w:val="24"/>
        </w:rPr>
        <w:t xml:space="preserve">his builds on the existing educational gap as a </w:t>
      </w:r>
      <w:r w:rsidR="001B6196" w:rsidRPr="009A501D">
        <w:rPr>
          <w:rFonts w:ascii="Times New Roman" w:hAnsi="Times New Roman"/>
          <w:sz w:val="24"/>
          <w:szCs w:val="24"/>
        </w:rPr>
        <w:t>reflection</w:t>
      </w:r>
      <w:r w:rsidR="00E77FDC" w:rsidRPr="009A501D">
        <w:rPr>
          <w:rFonts w:ascii="Times New Roman" w:hAnsi="Times New Roman"/>
          <w:sz w:val="24"/>
          <w:szCs w:val="24"/>
        </w:rPr>
        <w:t xml:space="preserve"> of </w:t>
      </w:r>
      <w:r w:rsidR="00C6161A" w:rsidRPr="009A501D">
        <w:rPr>
          <w:rFonts w:ascii="Times New Roman" w:hAnsi="Times New Roman"/>
          <w:sz w:val="24"/>
          <w:szCs w:val="24"/>
        </w:rPr>
        <w:t xml:space="preserve">a </w:t>
      </w:r>
      <w:r w:rsidR="00E77FDC" w:rsidRPr="009A501D">
        <w:rPr>
          <w:rFonts w:ascii="Times New Roman" w:hAnsi="Times New Roman"/>
          <w:sz w:val="24"/>
          <w:szCs w:val="24"/>
        </w:rPr>
        <w:t>broader concern with the rights and well</w:t>
      </w:r>
      <w:r w:rsidR="00C6161A" w:rsidRPr="009A501D">
        <w:rPr>
          <w:rFonts w:ascii="Times New Roman" w:hAnsi="Times New Roman"/>
          <w:sz w:val="24"/>
          <w:szCs w:val="24"/>
        </w:rPr>
        <w:t>-</w:t>
      </w:r>
      <w:r w:rsidR="00E77FDC" w:rsidRPr="009A501D">
        <w:rPr>
          <w:rFonts w:ascii="Times New Roman" w:hAnsi="Times New Roman"/>
          <w:sz w:val="24"/>
          <w:szCs w:val="24"/>
        </w:rPr>
        <w:t xml:space="preserve">being of </w:t>
      </w:r>
      <w:r w:rsidR="001B6196" w:rsidRPr="009A501D">
        <w:rPr>
          <w:rFonts w:ascii="Times New Roman" w:hAnsi="Times New Roman"/>
          <w:sz w:val="24"/>
          <w:szCs w:val="24"/>
        </w:rPr>
        <w:t>Indigenous</w:t>
      </w:r>
      <w:r w:rsidR="00E77FDC" w:rsidRPr="009A501D">
        <w:rPr>
          <w:rFonts w:ascii="Times New Roman" w:hAnsi="Times New Roman"/>
          <w:sz w:val="24"/>
          <w:szCs w:val="24"/>
        </w:rPr>
        <w:t xml:space="preserve"> Australians. </w:t>
      </w:r>
    </w:p>
    <w:p w14:paraId="4E0E2D30" w14:textId="45682BE8" w:rsidR="000859FA" w:rsidRDefault="000859FA" w:rsidP="00931FCF">
      <w:pPr>
        <w:spacing w:line="480" w:lineRule="auto"/>
        <w:ind w:firstLine="720"/>
        <w:rPr>
          <w:rFonts w:ascii="Times New Roman" w:hAnsi="Times New Roman"/>
          <w:sz w:val="24"/>
          <w:szCs w:val="24"/>
        </w:rPr>
      </w:pPr>
    </w:p>
    <w:p w14:paraId="097CF2E0" w14:textId="77777777" w:rsidR="000859FA" w:rsidRPr="009A501D" w:rsidRDefault="000859FA" w:rsidP="000859FA">
      <w:pPr>
        <w:spacing w:line="480" w:lineRule="auto"/>
        <w:rPr>
          <w:rFonts w:ascii="Times New Roman" w:hAnsi="Times New Roman"/>
          <w:sz w:val="24"/>
          <w:szCs w:val="24"/>
        </w:rPr>
      </w:pPr>
      <w:r w:rsidRPr="009A501D">
        <w:rPr>
          <w:rFonts w:ascii="Times New Roman" w:hAnsi="Times New Roman"/>
          <w:sz w:val="24"/>
          <w:szCs w:val="24"/>
        </w:rPr>
        <w:t xml:space="preserve">Indigenous Australians fall victim to multiple equity issues and equity overlap. The constant and inadvertent marginalization concerning access to quality education, wealth, and power restricts the principle of quality of life. The segment is predominantly associated with a higher birth rate and thus increases the inferiority complex of living in poverty. The demographic characteristics of indigenous with relation to equity become an overlapping issue compared to non-indigenous students. The likelihood of female Indigenous students increases compared to males; more are associated with low socio-economic status, considered responsible for caring for the dependent in the family, and likely to be first in the family to access higher education. Such staggering conditions indicate their likelihood to originate from remote regions in Australia. </w:t>
      </w:r>
    </w:p>
    <w:p w14:paraId="197E342C" w14:textId="77777777" w:rsidR="000859FA" w:rsidRPr="009A501D" w:rsidRDefault="000859FA" w:rsidP="000859FA">
      <w:pPr>
        <w:spacing w:line="480" w:lineRule="auto"/>
        <w:rPr>
          <w:rFonts w:ascii="Times New Roman" w:hAnsi="Times New Roman"/>
          <w:sz w:val="24"/>
          <w:szCs w:val="24"/>
        </w:rPr>
      </w:pPr>
      <w:r w:rsidRPr="009A501D">
        <w:rPr>
          <w:rFonts w:ascii="Times New Roman" w:hAnsi="Times New Roman"/>
          <w:sz w:val="24"/>
          <w:szCs w:val="24"/>
        </w:rPr>
        <w:t>As a constant concern among indigenous Australians, the discrepancy rises when school completion is brought into focus. A provocative idea in secondary school completion and the commencement of higher education showcases the number of participations from 2010. However, the 0.9% increase in enrollment to higher education (11,088 students) does not provide parity with the indigenous people making up 2.5% of the indigenous population (Indigenous Higher Education Advisory Council, 2006). This indication projects the underrepresentation of indigenous people in higher education and the low perception of their participation, retention, and outcomes (O</w:t>
      </w:r>
      <w:r>
        <w:rPr>
          <w:rFonts w:ascii="Times New Roman" w:hAnsi="Times New Roman"/>
          <w:sz w:val="24"/>
          <w:szCs w:val="24"/>
        </w:rPr>
        <w:t>’</w:t>
      </w:r>
      <w:r w:rsidRPr="009A501D">
        <w:rPr>
          <w:rFonts w:ascii="Times New Roman" w:hAnsi="Times New Roman"/>
          <w:sz w:val="24"/>
          <w:szCs w:val="24"/>
        </w:rPr>
        <w:t xml:space="preserve">Rourke, 2008; Devlin, 2009). In contrast to indigenous students in Canada and the United States, fewer indigenous Australians hold post-qualification, and there are poor outcomes compared to western society. The pervasive nature of aligning Indigenous education with achievement or disadvantage indicates that methodological approaches are significantly relevant in boosting cultural connection, explicit and quality teaching, and irrefutable school attendance (Altman, 2018). With the disparity in </w:t>
      </w:r>
      <w:r w:rsidRPr="009A501D">
        <w:rPr>
          <w:rFonts w:ascii="Times New Roman" w:hAnsi="Times New Roman"/>
          <w:sz w:val="24"/>
          <w:szCs w:val="24"/>
        </w:rPr>
        <w:lastRenderedPageBreak/>
        <w:t xml:space="preserve">outcomes through various programs being of importance and the nature to address it is deeply rooted in colonial oppression, a robust way to mitigate the problem should be subservient to a different framework.     </w:t>
      </w:r>
    </w:p>
    <w:p w14:paraId="4EABA646" w14:textId="77777777" w:rsidR="000859FA" w:rsidRPr="009A501D" w:rsidRDefault="000859FA" w:rsidP="000859FA">
      <w:pPr>
        <w:spacing w:line="480" w:lineRule="auto"/>
        <w:rPr>
          <w:rFonts w:ascii="Times New Roman" w:hAnsi="Times New Roman"/>
          <w:sz w:val="24"/>
          <w:szCs w:val="24"/>
        </w:rPr>
      </w:pPr>
      <w:r w:rsidRPr="009A501D">
        <w:rPr>
          <w:rFonts w:ascii="Times New Roman" w:hAnsi="Times New Roman"/>
          <w:sz w:val="24"/>
          <w:szCs w:val="24"/>
        </w:rPr>
        <w:t>The inception of programs and initiatives to i</w:t>
      </w:r>
      <w:r>
        <w:rPr>
          <w:rFonts w:ascii="Times New Roman" w:hAnsi="Times New Roman"/>
          <w:sz w:val="24"/>
          <w:szCs w:val="24"/>
        </w:rPr>
        <w:t>mprove</w:t>
      </w:r>
      <w:r w:rsidRPr="009A501D">
        <w:rPr>
          <w:rFonts w:ascii="Times New Roman" w:hAnsi="Times New Roman"/>
          <w:sz w:val="24"/>
          <w:szCs w:val="24"/>
        </w:rPr>
        <w:t xml:space="preserve"> the state of Indigenous students’ education engineered a framework commenced by the Coalition of Australian Governments (COAG) in 2007. </w:t>
      </w:r>
      <w:r>
        <w:rPr>
          <w:rFonts w:ascii="Times New Roman" w:hAnsi="Times New Roman"/>
          <w:sz w:val="24"/>
          <w:szCs w:val="24"/>
        </w:rPr>
        <w:t>A wide range of measures on inclusive education ascertain</w:t>
      </w:r>
      <w:r w:rsidRPr="009A501D">
        <w:rPr>
          <w:rFonts w:ascii="Times New Roman" w:hAnsi="Times New Roman"/>
          <w:sz w:val="24"/>
          <w:szCs w:val="24"/>
        </w:rPr>
        <w:t xml:space="preserve"> an ambitious aspiration to its targets, and therefore the enactment of the National Indigenous Reform Agreement (NIRA) and six ‘closing the Gap’ targets. The measures set up by the new </w:t>
      </w:r>
      <w:r>
        <w:rPr>
          <w:rFonts w:ascii="Times New Roman" w:hAnsi="Times New Roman"/>
          <w:sz w:val="24"/>
          <w:szCs w:val="24"/>
        </w:rPr>
        <w:t>C</w:t>
      </w:r>
      <w:r w:rsidRPr="009A501D">
        <w:rPr>
          <w:rFonts w:ascii="Times New Roman" w:hAnsi="Times New Roman"/>
          <w:sz w:val="24"/>
          <w:szCs w:val="24"/>
        </w:rPr>
        <w:t>losing the Gap framework ensu</w:t>
      </w:r>
      <w:r>
        <w:rPr>
          <w:rFonts w:ascii="Times New Roman" w:hAnsi="Times New Roman"/>
          <w:sz w:val="24"/>
          <w:szCs w:val="24"/>
        </w:rPr>
        <w:t>r</w:t>
      </w:r>
      <w:r w:rsidRPr="009A501D">
        <w:rPr>
          <w:rFonts w:ascii="Times New Roman" w:hAnsi="Times New Roman"/>
          <w:sz w:val="24"/>
          <w:szCs w:val="24"/>
        </w:rPr>
        <w:t xml:space="preserve">ed </w:t>
      </w:r>
      <w:r>
        <w:rPr>
          <w:rFonts w:ascii="Times New Roman" w:hAnsi="Times New Roman"/>
          <w:sz w:val="24"/>
          <w:szCs w:val="24"/>
        </w:rPr>
        <w:t>to boost</w:t>
      </w:r>
      <w:r w:rsidRPr="009A501D">
        <w:rPr>
          <w:rFonts w:ascii="Times New Roman" w:hAnsi="Times New Roman"/>
          <w:sz w:val="24"/>
          <w:szCs w:val="24"/>
        </w:rPr>
        <w:t xml:space="preserve"> </w:t>
      </w:r>
      <w:r>
        <w:rPr>
          <w:rFonts w:ascii="Times New Roman" w:hAnsi="Times New Roman"/>
          <w:sz w:val="24"/>
          <w:szCs w:val="24"/>
        </w:rPr>
        <w:t>in student achievement in school, reducing the percentage of the student at the bottom</w:t>
      </w:r>
      <w:r w:rsidRPr="009A501D">
        <w:rPr>
          <w:rFonts w:ascii="Times New Roman" w:hAnsi="Times New Roman"/>
          <w:sz w:val="24"/>
          <w:szCs w:val="24"/>
        </w:rPr>
        <w:t xml:space="preserve"> of the achievement scale and increasing it at the top (Willems, 2012). A more concern</w:t>
      </w:r>
      <w:r>
        <w:rPr>
          <w:rFonts w:ascii="Times New Roman" w:hAnsi="Times New Roman"/>
          <w:sz w:val="24"/>
          <w:szCs w:val="24"/>
        </w:rPr>
        <w:t>ing</w:t>
      </w:r>
      <w:r w:rsidRPr="009A501D">
        <w:rPr>
          <w:rFonts w:ascii="Times New Roman" w:hAnsi="Times New Roman"/>
          <w:sz w:val="24"/>
          <w:szCs w:val="24"/>
        </w:rPr>
        <w:t xml:space="preserve"> integration of the policy ascertained the involvement of Indigenous peak bodies to further the attainment of the framework’s target on post-schooling emphasis attainment and participation and pre-schooling contribution and development.</w:t>
      </w:r>
    </w:p>
    <w:p w14:paraId="2A16B442" w14:textId="77777777" w:rsidR="000859FA" w:rsidRPr="009A501D" w:rsidRDefault="000859FA" w:rsidP="000859FA">
      <w:pPr>
        <w:spacing w:line="480" w:lineRule="auto"/>
        <w:rPr>
          <w:rFonts w:ascii="Times New Roman" w:hAnsi="Times New Roman"/>
          <w:sz w:val="24"/>
          <w:szCs w:val="24"/>
        </w:rPr>
      </w:pPr>
      <w:r w:rsidRPr="009A501D">
        <w:rPr>
          <w:rFonts w:ascii="Times New Roman" w:hAnsi="Times New Roman"/>
          <w:sz w:val="24"/>
          <w:szCs w:val="24"/>
        </w:rPr>
        <w:t xml:space="preserve">The anticipated closing the gap initiative mediated its six objectives through a period and in different phases. Its first target was a pre-closing gap that accounts for the Aboriginal and Torres Strait Islander Education Taskforce on boosting literacy and numeracy among indigenous Australians, similar to non-Indigenous Australians. Its establishment and periodic operation did not bolster its expected goals since 1995. The 1998-2002 pre-closing gap goal through the Australian </w:t>
      </w:r>
      <w:r>
        <w:rPr>
          <w:rFonts w:ascii="Times New Roman" w:hAnsi="Times New Roman"/>
          <w:sz w:val="24"/>
          <w:szCs w:val="24"/>
        </w:rPr>
        <w:t>education minister</w:t>
      </w:r>
      <w:r w:rsidRPr="009A501D">
        <w:rPr>
          <w:rFonts w:ascii="Times New Roman" w:hAnsi="Times New Roman"/>
          <w:sz w:val="24"/>
          <w:szCs w:val="24"/>
        </w:rPr>
        <w:t xml:space="preserve"> endorsed the observation of minimum acceptable literacy and numeracy standards (Mellor &amp; Corrigan, 2004). The goal was not met, and the gap increased proportionally with </w:t>
      </w:r>
      <w:r>
        <w:rPr>
          <w:rFonts w:ascii="Times New Roman" w:hAnsi="Times New Roman"/>
          <w:sz w:val="24"/>
          <w:szCs w:val="24"/>
        </w:rPr>
        <w:t xml:space="preserve">the </w:t>
      </w:r>
      <w:r w:rsidRPr="009A501D">
        <w:rPr>
          <w:rFonts w:ascii="Times New Roman" w:hAnsi="Times New Roman"/>
          <w:sz w:val="24"/>
          <w:szCs w:val="24"/>
        </w:rPr>
        <w:t>advancing non-indigenous Australians</w:t>
      </w:r>
      <w:r>
        <w:rPr>
          <w:rFonts w:ascii="Times New Roman" w:hAnsi="Times New Roman"/>
          <w:sz w:val="24"/>
          <w:szCs w:val="24"/>
        </w:rPr>
        <w:t>’</w:t>
      </w:r>
      <w:r w:rsidRPr="009A501D">
        <w:rPr>
          <w:rFonts w:ascii="Times New Roman" w:hAnsi="Times New Roman"/>
          <w:sz w:val="24"/>
          <w:szCs w:val="24"/>
        </w:rPr>
        <w:t xml:space="preserve"> level. Th</w:t>
      </w:r>
      <w:r>
        <w:rPr>
          <w:rFonts w:ascii="Times New Roman" w:hAnsi="Times New Roman"/>
          <w:sz w:val="24"/>
          <w:szCs w:val="24"/>
        </w:rPr>
        <w:t>e</w:t>
      </w:r>
      <w:r w:rsidRPr="009A501D">
        <w:rPr>
          <w:rFonts w:ascii="Times New Roman" w:hAnsi="Times New Roman"/>
          <w:sz w:val="24"/>
          <w:szCs w:val="24"/>
        </w:rPr>
        <w:t xml:space="preserve"> </w:t>
      </w:r>
      <w:r>
        <w:rPr>
          <w:rFonts w:ascii="Times New Roman" w:hAnsi="Times New Roman"/>
          <w:sz w:val="24"/>
          <w:szCs w:val="24"/>
        </w:rPr>
        <w:t>Minister’s Hobart Declaration</w:t>
      </w:r>
      <w:r w:rsidRPr="009A501D">
        <w:rPr>
          <w:rFonts w:ascii="Times New Roman" w:hAnsi="Times New Roman"/>
          <w:sz w:val="24"/>
          <w:szCs w:val="24"/>
        </w:rPr>
        <w:t xml:space="preserve"> between 1998-2002 on establishing education and training systems to increase proficiency as dictated by the Aboriginal and Torres Strait Islander</w:t>
      </w:r>
      <w:r>
        <w:rPr>
          <w:rFonts w:ascii="Times New Roman" w:hAnsi="Times New Roman"/>
          <w:sz w:val="24"/>
          <w:szCs w:val="24"/>
        </w:rPr>
        <w:t>s</w:t>
      </w:r>
      <w:r w:rsidRPr="009A501D">
        <w:rPr>
          <w:rFonts w:ascii="Times New Roman" w:hAnsi="Times New Roman"/>
          <w:sz w:val="24"/>
          <w:szCs w:val="24"/>
        </w:rPr>
        <w:t xml:space="preserve"> failed in meeting its expected outcomes. The 1999 initiative to assure equitable access and </w:t>
      </w:r>
      <w:r w:rsidRPr="009A501D">
        <w:rPr>
          <w:rFonts w:ascii="Times New Roman" w:hAnsi="Times New Roman"/>
          <w:sz w:val="24"/>
          <w:szCs w:val="24"/>
        </w:rPr>
        <w:lastRenderedPageBreak/>
        <w:t xml:space="preserve">opportunities among Indigenous and non-indigenous students also </w:t>
      </w:r>
      <w:r>
        <w:rPr>
          <w:rFonts w:ascii="Times New Roman" w:hAnsi="Times New Roman"/>
          <w:sz w:val="24"/>
          <w:szCs w:val="24"/>
        </w:rPr>
        <w:t>was unable</w:t>
      </w:r>
      <w:r w:rsidRPr="009A501D">
        <w:rPr>
          <w:rFonts w:ascii="Times New Roman" w:hAnsi="Times New Roman"/>
          <w:sz w:val="24"/>
          <w:szCs w:val="24"/>
        </w:rPr>
        <w:t xml:space="preserve"> to meet its expected results (Truscott &amp; Malcolm, 2010). This was later followed by the Melbourne Declaration, supported by the COAG’s National Indigenous Reform Agreement, to halve the gap by lowering the considerable standards that enrolled students to bolster their writing, reading</w:t>
      </w:r>
      <w:r>
        <w:rPr>
          <w:rFonts w:ascii="Times New Roman" w:hAnsi="Times New Roman"/>
          <w:sz w:val="24"/>
          <w:szCs w:val="24"/>
        </w:rPr>
        <w:t>,</w:t>
      </w:r>
      <w:r w:rsidRPr="009A501D">
        <w:rPr>
          <w:rFonts w:ascii="Times New Roman" w:hAnsi="Times New Roman"/>
          <w:sz w:val="24"/>
          <w:szCs w:val="24"/>
        </w:rPr>
        <w:t xml:space="preserve"> and numeracy. The objective budgeted with</w:t>
      </w:r>
      <w:r>
        <w:rPr>
          <w:rFonts w:ascii="Times New Roman" w:hAnsi="Times New Roman"/>
          <w:sz w:val="24"/>
          <w:szCs w:val="24"/>
        </w:rPr>
        <w:t>in</w:t>
      </w:r>
      <w:r w:rsidRPr="009A501D">
        <w:rPr>
          <w:rFonts w:ascii="Times New Roman" w:hAnsi="Times New Roman"/>
          <w:sz w:val="24"/>
          <w:szCs w:val="24"/>
        </w:rPr>
        <w:t xml:space="preserve"> a 10-year period (2008-2018) did not actualize its </w:t>
      </w:r>
      <w:r>
        <w:rPr>
          <w:rFonts w:ascii="Times New Roman" w:hAnsi="Times New Roman"/>
          <w:sz w:val="24"/>
          <w:szCs w:val="24"/>
        </w:rPr>
        <w:t>objective</w:t>
      </w:r>
      <w:r w:rsidRPr="009A501D">
        <w:rPr>
          <w:rFonts w:ascii="Times New Roman" w:hAnsi="Times New Roman"/>
          <w:sz w:val="24"/>
          <w:szCs w:val="24"/>
        </w:rPr>
        <w:t>s (McConney et al., 2011). Such aims delivered by the pre-closing the gap targets initiative bearded no progressive results for immediate change.</w:t>
      </w:r>
    </w:p>
    <w:p w14:paraId="440DFFE0" w14:textId="77777777" w:rsidR="000859FA" w:rsidRPr="009A501D" w:rsidRDefault="000859FA" w:rsidP="000859FA">
      <w:pPr>
        <w:spacing w:line="480" w:lineRule="auto"/>
        <w:rPr>
          <w:rFonts w:ascii="Times New Roman" w:hAnsi="Times New Roman"/>
          <w:sz w:val="24"/>
          <w:szCs w:val="24"/>
        </w:rPr>
      </w:pPr>
      <w:r w:rsidRPr="009A501D">
        <w:rPr>
          <w:rFonts w:ascii="Times New Roman" w:hAnsi="Times New Roman"/>
          <w:sz w:val="24"/>
          <w:szCs w:val="24"/>
        </w:rPr>
        <w:t xml:space="preserve">Additional attempts fostered an initiative of </w:t>
      </w:r>
      <w:r>
        <w:rPr>
          <w:rFonts w:ascii="Times New Roman" w:hAnsi="Times New Roman"/>
          <w:sz w:val="24"/>
          <w:szCs w:val="24"/>
        </w:rPr>
        <w:t>initi</w:t>
      </w:r>
      <w:r w:rsidRPr="009A501D">
        <w:rPr>
          <w:rFonts w:ascii="Times New Roman" w:hAnsi="Times New Roman"/>
          <w:sz w:val="24"/>
          <w:szCs w:val="24"/>
        </w:rPr>
        <w:t>ally closing the gap with education policies as inclusive targets. Initiated in 2008, the</w:t>
      </w:r>
      <w:r>
        <w:rPr>
          <w:rFonts w:ascii="Times New Roman" w:hAnsi="Times New Roman"/>
          <w:sz w:val="24"/>
          <w:szCs w:val="24"/>
        </w:rPr>
        <w:t>y</w:t>
      </w:r>
      <w:r w:rsidRPr="009A501D">
        <w:rPr>
          <w:rFonts w:ascii="Times New Roman" w:hAnsi="Times New Roman"/>
          <w:sz w:val="24"/>
          <w:szCs w:val="24"/>
        </w:rPr>
        <w:t xml:space="preserve"> began </w:t>
      </w:r>
      <w:r>
        <w:rPr>
          <w:rFonts w:ascii="Times New Roman" w:hAnsi="Times New Roman"/>
          <w:sz w:val="24"/>
          <w:szCs w:val="24"/>
        </w:rPr>
        <w:t>by</w:t>
      </w:r>
      <w:r w:rsidRPr="009A501D">
        <w:rPr>
          <w:rFonts w:ascii="Times New Roman" w:hAnsi="Times New Roman"/>
          <w:sz w:val="24"/>
          <w:szCs w:val="24"/>
        </w:rPr>
        <w:t xml:space="preserve"> ensuring all indigenous four-year-old children access early childhood education in </w:t>
      </w:r>
      <w:r>
        <w:rPr>
          <w:rFonts w:ascii="Times New Roman" w:hAnsi="Times New Roman"/>
          <w:sz w:val="24"/>
          <w:szCs w:val="24"/>
        </w:rPr>
        <w:t>five years</w:t>
      </w:r>
      <w:r w:rsidRPr="009A501D">
        <w:rPr>
          <w:rFonts w:ascii="Times New Roman" w:hAnsi="Times New Roman"/>
          <w:sz w:val="24"/>
          <w:szCs w:val="24"/>
        </w:rPr>
        <w:t xml:space="preserve">. From 2008-2013, the objective was met (Truscott &amp; Malcolm, 2010). However, the expected goal of halving the gap with the introduction of indigenous children at national minimum standards was not met as expected from 2008-2018, and therefore pushed the 2006-2020 goal of halving the gap for indigenous students to have education access. It’s still progressive as it was not met. 2014 additional closing the gap target in increasing school attendance from 2014 to 2018 was never </w:t>
      </w:r>
      <w:r>
        <w:rPr>
          <w:rFonts w:ascii="Times New Roman" w:hAnsi="Times New Roman"/>
          <w:sz w:val="24"/>
          <w:szCs w:val="24"/>
        </w:rPr>
        <w:t>fulfilled</w:t>
      </w:r>
      <w:r w:rsidRPr="009A501D">
        <w:rPr>
          <w:rFonts w:ascii="Times New Roman" w:hAnsi="Times New Roman"/>
          <w:sz w:val="24"/>
          <w:szCs w:val="24"/>
        </w:rPr>
        <w:t xml:space="preserve">. A 2015 fortified objective to improve on increased 4-year-old early childhood enrollment by 2025 is still on track (Purdie &amp; Buckley, 2010). Initiatives of a revised draft in 2018 accentuated closing half the gap by bolstering equivalent qualifications among Aboriginal and Torres Strait Islander and non-Indigenous 20–24-year-olds. The objective is still on track. Prospective initiatives </w:t>
      </w:r>
      <w:r>
        <w:rPr>
          <w:rFonts w:ascii="Times New Roman" w:hAnsi="Times New Roman"/>
          <w:sz w:val="24"/>
          <w:szCs w:val="24"/>
        </w:rPr>
        <w:t>reduce</w:t>
      </w:r>
      <w:r w:rsidRPr="009A501D">
        <w:rPr>
          <w:rFonts w:ascii="Times New Roman" w:hAnsi="Times New Roman"/>
          <w:sz w:val="24"/>
          <w:szCs w:val="24"/>
        </w:rPr>
        <w:t xml:space="preserve"> the proportion of all students in the bottom two bands </w:t>
      </w:r>
      <w:r>
        <w:rPr>
          <w:rFonts w:ascii="Times New Roman" w:hAnsi="Times New Roman"/>
          <w:sz w:val="24"/>
          <w:szCs w:val="24"/>
        </w:rPr>
        <w:t xml:space="preserve">and </w:t>
      </w:r>
      <w:r w:rsidRPr="009A501D">
        <w:rPr>
          <w:rFonts w:ascii="Times New Roman" w:hAnsi="Times New Roman"/>
          <w:sz w:val="24"/>
          <w:szCs w:val="24"/>
        </w:rPr>
        <w:t xml:space="preserve">increase the proportion of students in the top two NAPLAN bands of reading and numeracy, with an average of 6% points (Rigby et al., 2011). </w:t>
      </w:r>
    </w:p>
    <w:p w14:paraId="486944B0" w14:textId="77777777" w:rsidR="000859FA" w:rsidRDefault="000859FA" w:rsidP="00931FCF">
      <w:pPr>
        <w:spacing w:line="480" w:lineRule="auto"/>
        <w:ind w:firstLine="720"/>
        <w:rPr>
          <w:rFonts w:ascii="Times New Roman" w:hAnsi="Times New Roman"/>
          <w:sz w:val="24"/>
          <w:szCs w:val="24"/>
        </w:rPr>
      </w:pPr>
    </w:p>
    <w:p w14:paraId="469FAA2E" w14:textId="77777777" w:rsidR="003B5E41" w:rsidRDefault="003B5E41" w:rsidP="007904E7">
      <w:pPr>
        <w:spacing w:line="480" w:lineRule="auto"/>
        <w:rPr>
          <w:rFonts w:ascii="Times New Roman" w:hAnsi="Times New Roman"/>
          <w:b/>
          <w:bCs/>
          <w:sz w:val="24"/>
          <w:szCs w:val="24"/>
          <w:highlight w:val="cyan"/>
        </w:rPr>
      </w:pPr>
    </w:p>
    <w:p w14:paraId="10CB83E6" w14:textId="79838C06" w:rsidR="003B5E41" w:rsidRPr="00250537" w:rsidRDefault="003B5E41" w:rsidP="00966461">
      <w:pPr>
        <w:spacing w:line="480" w:lineRule="auto"/>
        <w:ind w:firstLine="720"/>
        <w:rPr>
          <w:rFonts w:ascii="Times New Roman" w:hAnsi="Times New Roman"/>
          <w:b/>
          <w:bCs/>
          <w:sz w:val="24"/>
          <w:szCs w:val="24"/>
        </w:rPr>
      </w:pPr>
      <w:r w:rsidRPr="00966461">
        <w:rPr>
          <w:rFonts w:ascii="Times New Roman" w:hAnsi="Times New Roman"/>
          <w:b/>
          <w:bCs/>
          <w:sz w:val="24"/>
          <w:szCs w:val="24"/>
        </w:rPr>
        <w:lastRenderedPageBreak/>
        <w:t>Rationale</w:t>
      </w:r>
    </w:p>
    <w:p w14:paraId="658BE9FA" w14:textId="6CCD808D" w:rsidR="00396C0C" w:rsidRDefault="003B5E41" w:rsidP="009A501D">
      <w:pPr>
        <w:spacing w:line="480" w:lineRule="auto"/>
        <w:rPr>
          <w:rFonts w:ascii="Times New Roman" w:hAnsi="Times New Roman"/>
          <w:sz w:val="24"/>
          <w:szCs w:val="24"/>
        </w:rPr>
      </w:pPr>
      <w:r w:rsidRPr="009A501D">
        <w:rPr>
          <w:rFonts w:ascii="Times New Roman" w:hAnsi="Times New Roman"/>
          <w:sz w:val="24"/>
          <w:szCs w:val="24"/>
        </w:rPr>
        <w:t xml:space="preserve">The current techniques have shown little to no progress as the research on Indigenous education still prompts further contextualization. Earlier research has utilized small case studies focused on a </w:t>
      </w:r>
      <w:r>
        <w:rPr>
          <w:rFonts w:ascii="Times New Roman" w:hAnsi="Times New Roman"/>
          <w:sz w:val="24"/>
          <w:szCs w:val="24"/>
        </w:rPr>
        <w:t>population set</w:t>
      </w:r>
      <w:r w:rsidRPr="009A501D">
        <w:rPr>
          <w:rFonts w:ascii="Times New Roman" w:hAnsi="Times New Roman"/>
          <w:sz w:val="24"/>
          <w:szCs w:val="24"/>
        </w:rPr>
        <w:t xml:space="preserve">, incomplete or unclear in rendering its objectives. Concerns on the uniqueness of the indigenous experience of education or the isolation of the </w:t>
      </w:r>
      <w:r>
        <w:rPr>
          <w:rFonts w:ascii="Times New Roman" w:hAnsi="Times New Roman"/>
          <w:sz w:val="24"/>
          <w:szCs w:val="24"/>
        </w:rPr>
        <w:t>broa</w:t>
      </w:r>
      <w:r w:rsidRPr="009A501D">
        <w:rPr>
          <w:rFonts w:ascii="Times New Roman" w:hAnsi="Times New Roman"/>
          <w:sz w:val="24"/>
          <w:szCs w:val="24"/>
        </w:rPr>
        <w:t>der discourse of ongoing professional development and social</w:t>
      </w:r>
      <w:r>
        <w:rPr>
          <w:rFonts w:ascii="Times New Roman" w:hAnsi="Times New Roman"/>
          <w:sz w:val="24"/>
          <w:szCs w:val="24"/>
        </w:rPr>
        <w:t>-</w:t>
      </w:r>
      <w:r w:rsidRPr="009A501D">
        <w:rPr>
          <w:rFonts w:ascii="Times New Roman" w:hAnsi="Times New Roman"/>
          <w:sz w:val="24"/>
          <w:szCs w:val="24"/>
        </w:rPr>
        <w:t xml:space="preserve">emotional readiness for formal education (Purdie &amp; Buckley, 2010). Additionally, the discipline of </w:t>
      </w:r>
      <w:r>
        <w:rPr>
          <w:rFonts w:ascii="Times New Roman" w:hAnsi="Times New Roman"/>
          <w:sz w:val="24"/>
          <w:szCs w:val="24"/>
        </w:rPr>
        <w:t>categorizing</w:t>
      </w:r>
      <w:r w:rsidRPr="009A501D">
        <w:rPr>
          <w:rFonts w:ascii="Times New Roman" w:hAnsi="Times New Roman"/>
          <w:sz w:val="24"/>
          <w:szCs w:val="24"/>
        </w:rPr>
        <w:t xml:space="preserve"> cognitive and psychological endeavors predominantly focused on problems. Asserting a rather suitable relationship between cause and effect need</w:t>
      </w:r>
      <w:r>
        <w:rPr>
          <w:rFonts w:ascii="Times New Roman" w:hAnsi="Times New Roman"/>
          <w:sz w:val="24"/>
          <w:szCs w:val="24"/>
        </w:rPr>
        <w:t>s</w:t>
      </w:r>
      <w:r w:rsidRPr="009A501D">
        <w:rPr>
          <w:rFonts w:ascii="Times New Roman" w:hAnsi="Times New Roman"/>
          <w:sz w:val="24"/>
          <w:szCs w:val="24"/>
        </w:rPr>
        <w:t xml:space="preserve"> to be </w:t>
      </w:r>
      <w:r>
        <w:rPr>
          <w:rFonts w:ascii="Times New Roman" w:hAnsi="Times New Roman"/>
          <w:sz w:val="24"/>
          <w:szCs w:val="24"/>
        </w:rPr>
        <w:t>re</w:t>
      </w:r>
      <w:r w:rsidRPr="009A501D">
        <w:rPr>
          <w:rFonts w:ascii="Times New Roman" w:hAnsi="Times New Roman"/>
          <w:sz w:val="24"/>
          <w:szCs w:val="24"/>
        </w:rPr>
        <w:t xml:space="preserve">ferenced with the adoption and promotion of single solutions (Brown, 2019).   </w:t>
      </w:r>
    </w:p>
    <w:p w14:paraId="22C9960A" w14:textId="77777777" w:rsidR="007618E4" w:rsidRPr="007618E4" w:rsidRDefault="007618E4" w:rsidP="009A501D">
      <w:pPr>
        <w:spacing w:line="480" w:lineRule="auto"/>
        <w:rPr>
          <w:rFonts w:ascii="Times New Roman" w:hAnsi="Times New Roman"/>
          <w:sz w:val="24"/>
          <w:szCs w:val="24"/>
        </w:rPr>
      </w:pPr>
    </w:p>
    <w:p w14:paraId="439C156E" w14:textId="77777777" w:rsidR="000B16CA" w:rsidRPr="009A501D" w:rsidRDefault="000B16CA" w:rsidP="00FB17F5">
      <w:pPr>
        <w:spacing w:line="480" w:lineRule="auto"/>
        <w:ind w:firstLine="720"/>
        <w:rPr>
          <w:rFonts w:ascii="Times New Roman" w:hAnsi="Times New Roman"/>
          <w:b/>
          <w:bCs/>
          <w:sz w:val="24"/>
          <w:szCs w:val="24"/>
        </w:rPr>
      </w:pPr>
      <w:r w:rsidRPr="009A501D">
        <w:rPr>
          <w:rFonts w:ascii="Times New Roman" w:hAnsi="Times New Roman"/>
          <w:b/>
          <w:bCs/>
          <w:sz w:val="24"/>
          <w:szCs w:val="24"/>
        </w:rPr>
        <w:t>Research Question</w:t>
      </w:r>
      <w:r w:rsidR="005449E6" w:rsidRPr="009A501D">
        <w:rPr>
          <w:rFonts w:ascii="Times New Roman" w:hAnsi="Times New Roman"/>
          <w:b/>
          <w:bCs/>
          <w:sz w:val="24"/>
          <w:szCs w:val="24"/>
        </w:rPr>
        <w:t>/Problems</w:t>
      </w:r>
    </w:p>
    <w:p w14:paraId="55EEEF3B" w14:textId="20F97FEA" w:rsidR="0063491E" w:rsidRPr="009A501D" w:rsidRDefault="003272CF" w:rsidP="005152C5">
      <w:pPr>
        <w:spacing w:line="480" w:lineRule="auto"/>
        <w:rPr>
          <w:rFonts w:ascii="Times New Roman" w:hAnsi="Times New Roman"/>
          <w:sz w:val="24"/>
          <w:szCs w:val="24"/>
        </w:rPr>
      </w:pPr>
      <w:r w:rsidRPr="009A501D">
        <w:rPr>
          <w:rFonts w:ascii="Times New Roman" w:hAnsi="Times New Roman"/>
          <w:sz w:val="24"/>
          <w:szCs w:val="24"/>
        </w:rPr>
        <w:t xml:space="preserve">Overcoming </w:t>
      </w:r>
      <w:r w:rsidR="00C6161A" w:rsidRPr="009A501D">
        <w:rPr>
          <w:rFonts w:ascii="Times New Roman" w:hAnsi="Times New Roman"/>
          <w:sz w:val="24"/>
          <w:szCs w:val="24"/>
        </w:rPr>
        <w:t>I</w:t>
      </w:r>
      <w:r w:rsidRPr="009A501D">
        <w:rPr>
          <w:rFonts w:ascii="Times New Roman" w:hAnsi="Times New Roman"/>
          <w:sz w:val="24"/>
          <w:szCs w:val="24"/>
        </w:rPr>
        <w:t xml:space="preserve">ndigenous disadvantage sets an inclusive framework that pries on the key strategical policies for achieving equality for indigenous students. The notable gap between the only 77% of Indigenous students meeting </w:t>
      </w:r>
      <w:r w:rsidR="00C6161A" w:rsidRPr="009A501D">
        <w:rPr>
          <w:rFonts w:ascii="Times New Roman" w:hAnsi="Times New Roman"/>
          <w:sz w:val="24"/>
          <w:szCs w:val="24"/>
        </w:rPr>
        <w:t xml:space="preserve">the </w:t>
      </w:r>
      <w:r w:rsidRPr="009A501D">
        <w:rPr>
          <w:rFonts w:ascii="Times New Roman" w:hAnsi="Times New Roman"/>
          <w:sz w:val="24"/>
          <w:szCs w:val="24"/>
        </w:rPr>
        <w:t>minimum benchmark for reading as compared to 93% of non-indigenous students dictate</w:t>
      </w:r>
      <w:r w:rsidR="00C6161A" w:rsidRPr="009A501D">
        <w:rPr>
          <w:rFonts w:ascii="Times New Roman" w:hAnsi="Times New Roman"/>
          <w:sz w:val="24"/>
          <w:szCs w:val="24"/>
        </w:rPr>
        <w:t>s</w:t>
      </w:r>
      <w:r w:rsidRPr="009A501D">
        <w:rPr>
          <w:rFonts w:ascii="Times New Roman" w:hAnsi="Times New Roman"/>
          <w:sz w:val="24"/>
          <w:szCs w:val="24"/>
        </w:rPr>
        <w:t xml:space="preserve"> the lower numeracy score of the Indigenous students</w:t>
      </w:r>
      <w:r w:rsidR="009636F5">
        <w:rPr>
          <w:rFonts w:ascii="Times New Roman" w:hAnsi="Times New Roman"/>
          <w:sz w:val="24"/>
          <w:szCs w:val="24"/>
        </w:rPr>
        <w:t xml:space="preserve"> </w:t>
      </w:r>
      <w:r w:rsidR="00D75072" w:rsidRPr="00D75072">
        <w:rPr>
          <w:rFonts w:ascii="Times New Roman" w:hAnsi="Times New Roman"/>
          <w:sz w:val="24"/>
          <w:szCs w:val="24"/>
        </w:rPr>
        <w:t>(MCEETYA</w:t>
      </w:r>
      <w:r w:rsidR="00D75072">
        <w:rPr>
          <w:rFonts w:ascii="Times New Roman" w:hAnsi="Times New Roman"/>
          <w:sz w:val="24"/>
          <w:szCs w:val="24"/>
        </w:rPr>
        <w:t xml:space="preserve">, </w:t>
      </w:r>
      <w:r w:rsidR="00D75072" w:rsidRPr="00D75072">
        <w:rPr>
          <w:rFonts w:ascii="Times New Roman" w:hAnsi="Times New Roman"/>
          <w:sz w:val="24"/>
          <w:szCs w:val="24"/>
        </w:rPr>
        <w:t>2000)</w:t>
      </w:r>
      <w:r w:rsidRPr="009A501D">
        <w:rPr>
          <w:rFonts w:ascii="Times New Roman" w:hAnsi="Times New Roman"/>
          <w:sz w:val="24"/>
          <w:szCs w:val="24"/>
        </w:rPr>
        <w:t>. The dictation to reduce the disparity between the educational outcomes of Indigenous and non-Indigenous students are of concern</w:t>
      </w:r>
      <w:r w:rsidR="00C6161A" w:rsidRPr="009A501D">
        <w:rPr>
          <w:rFonts w:ascii="Times New Roman" w:hAnsi="Times New Roman"/>
          <w:sz w:val="24"/>
          <w:szCs w:val="24"/>
        </w:rPr>
        <w:t>,</w:t>
      </w:r>
      <w:r w:rsidRPr="009A501D">
        <w:rPr>
          <w:rFonts w:ascii="Times New Roman" w:hAnsi="Times New Roman"/>
          <w:sz w:val="24"/>
          <w:szCs w:val="24"/>
        </w:rPr>
        <w:t xml:space="preserve"> and the disadvantage experienced by many of the Indigenous students prompt</w:t>
      </w:r>
      <w:r w:rsidR="00C6161A" w:rsidRPr="009A501D">
        <w:rPr>
          <w:rFonts w:ascii="Times New Roman" w:hAnsi="Times New Roman"/>
          <w:sz w:val="24"/>
          <w:szCs w:val="24"/>
        </w:rPr>
        <w:t>s</w:t>
      </w:r>
      <w:r w:rsidRPr="009A501D">
        <w:rPr>
          <w:rFonts w:ascii="Times New Roman" w:hAnsi="Times New Roman"/>
          <w:sz w:val="24"/>
          <w:szCs w:val="24"/>
        </w:rPr>
        <w:t xml:space="preserve"> addressing. </w:t>
      </w:r>
      <w:r w:rsidR="004D08E4" w:rsidRPr="009A501D">
        <w:rPr>
          <w:rFonts w:ascii="Times New Roman" w:hAnsi="Times New Roman"/>
          <w:sz w:val="24"/>
          <w:szCs w:val="24"/>
        </w:rPr>
        <w:t xml:space="preserve">The concern </w:t>
      </w:r>
      <w:r w:rsidR="00C6161A" w:rsidRPr="009A501D">
        <w:rPr>
          <w:rFonts w:ascii="Times New Roman" w:hAnsi="Times New Roman"/>
          <w:sz w:val="24"/>
          <w:szCs w:val="24"/>
        </w:rPr>
        <w:t xml:space="preserve">is </w:t>
      </w:r>
      <w:r w:rsidR="004D08E4" w:rsidRPr="009A501D">
        <w:rPr>
          <w:rFonts w:ascii="Times New Roman" w:hAnsi="Times New Roman"/>
          <w:sz w:val="24"/>
          <w:szCs w:val="24"/>
        </w:rPr>
        <w:t xml:space="preserve">to increase the academic achievement gap and empower campaigns and policies that aid in setting different starting points for the population compositions to set a common goal </w:t>
      </w:r>
      <w:r w:rsidR="00C6161A" w:rsidRPr="009A501D">
        <w:rPr>
          <w:rFonts w:ascii="Times New Roman" w:hAnsi="Times New Roman"/>
          <w:sz w:val="24"/>
          <w:szCs w:val="24"/>
        </w:rPr>
        <w:t>for</w:t>
      </w:r>
      <w:r w:rsidR="004D08E4" w:rsidRPr="009A501D">
        <w:rPr>
          <w:rFonts w:ascii="Times New Roman" w:hAnsi="Times New Roman"/>
          <w:sz w:val="24"/>
          <w:szCs w:val="24"/>
        </w:rPr>
        <w:t xml:space="preserve"> Indigenous and non-</w:t>
      </w:r>
      <w:r w:rsidR="003623AE" w:rsidRPr="009A501D">
        <w:rPr>
          <w:rFonts w:ascii="Times New Roman" w:hAnsi="Times New Roman"/>
          <w:sz w:val="24"/>
          <w:szCs w:val="24"/>
        </w:rPr>
        <w:t>indigenous</w:t>
      </w:r>
      <w:r w:rsidR="004D08E4" w:rsidRPr="009A501D">
        <w:rPr>
          <w:rFonts w:ascii="Times New Roman" w:hAnsi="Times New Roman"/>
          <w:sz w:val="24"/>
          <w:szCs w:val="24"/>
        </w:rPr>
        <w:t xml:space="preserve"> Australians. </w:t>
      </w:r>
      <w:r w:rsidR="00966461">
        <w:rPr>
          <w:rFonts w:ascii="Times New Roman" w:hAnsi="Times New Roman"/>
          <w:sz w:val="24"/>
          <w:szCs w:val="24"/>
        </w:rPr>
        <w:t xml:space="preserve">Understanding the fact that indigenous students as well respond to Australia’s current </w:t>
      </w:r>
      <w:r w:rsidR="00EE6574">
        <w:rPr>
          <w:rFonts w:ascii="Times New Roman" w:hAnsi="Times New Roman"/>
          <w:sz w:val="24"/>
          <w:szCs w:val="24"/>
        </w:rPr>
        <w:t>educational</w:t>
      </w:r>
      <w:r w:rsidR="00966461">
        <w:rPr>
          <w:rFonts w:ascii="Times New Roman" w:hAnsi="Times New Roman"/>
          <w:sz w:val="24"/>
          <w:szCs w:val="24"/>
        </w:rPr>
        <w:t xml:space="preserve"> system calls for action. </w:t>
      </w:r>
      <w:r w:rsidR="00EE6574">
        <w:rPr>
          <w:rFonts w:ascii="Times New Roman" w:hAnsi="Times New Roman"/>
          <w:sz w:val="24"/>
          <w:szCs w:val="24"/>
        </w:rPr>
        <w:t>Additionally</w:t>
      </w:r>
      <w:r w:rsidR="00966461">
        <w:rPr>
          <w:rFonts w:ascii="Times New Roman" w:hAnsi="Times New Roman"/>
          <w:sz w:val="24"/>
          <w:szCs w:val="24"/>
        </w:rPr>
        <w:t xml:space="preserve">, the study prompts to undertake Trauma Informed Practices to understand the </w:t>
      </w:r>
      <w:r w:rsidR="00966461">
        <w:rPr>
          <w:rFonts w:ascii="Times New Roman" w:hAnsi="Times New Roman"/>
          <w:sz w:val="24"/>
          <w:szCs w:val="24"/>
        </w:rPr>
        <w:lastRenderedPageBreak/>
        <w:t xml:space="preserve">system impacting students on school </w:t>
      </w:r>
      <w:r w:rsidR="00EE6574">
        <w:rPr>
          <w:rFonts w:ascii="Times New Roman" w:hAnsi="Times New Roman"/>
          <w:sz w:val="24"/>
          <w:szCs w:val="24"/>
        </w:rPr>
        <w:t>behavior</w:t>
      </w:r>
      <w:r w:rsidR="00966461">
        <w:rPr>
          <w:rFonts w:ascii="Times New Roman" w:hAnsi="Times New Roman"/>
          <w:sz w:val="24"/>
          <w:szCs w:val="24"/>
        </w:rPr>
        <w:t xml:space="preserve"> and disciplinary </w:t>
      </w:r>
      <w:r w:rsidR="00EE6574">
        <w:rPr>
          <w:rFonts w:ascii="Times New Roman" w:hAnsi="Times New Roman"/>
          <w:sz w:val="24"/>
          <w:szCs w:val="24"/>
        </w:rPr>
        <w:t>absences</w:t>
      </w:r>
      <w:r w:rsidR="00966461">
        <w:rPr>
          <w:rFonts w:ascii="Times New Roman" w:hAnsi="Times New Roman"/>
          <w:sz w:val="24"/>
          <w:szCs w:val="24"/>
        </w:rPr>
        <w:t xml:space="preserve">, student engagement, academic outcomes, and </w:t>
      </w:r>
      <w:r w:rsidR="00EE6574">
        <w:rPr>
          <w:rFonts w:ascii="Times New Roman" w:hAnsi="Times New Roman"/>
          <w:sz w:val="24"/>
          <w:szCs w:val="24"/>
        </w:rPr>
        <w:t>retention</w:t>
      </w:r>
      <w:r w:rsidR="00966461">
        <w:rPr>
          <w:rFonts w:ascii="Times New Roman" w:hAnsi="Times New Roman"/>
          <w:sz w:val="24"/>
          <w:szCs w:val="24"/>
        </w:rPr>
        <w:t xml:space="preserve"> rates.</w:t>
      </w:r>
      <w:r w:rsidR="00EE6574">
        <w:rPr>
          <w:rFonts w:ascii="Times New Roman" w:hAnsi="Times New Roman"/>
          <w:sz w:val="24"/>
          <w:szCs w:val="24"/>
        </w:rPr>
        <w:t xml:space="preserve"> </w:t>
      </w:r>
    </w:p>
    <w:p w14:paraId="1B937108" w14:textId="77777777" w:rsidR="007618E4" w:rsidRDefault="007618E4" w:rsidP="00A80270">
      <w:pPr>
        <w:spacing w:line="480" w:lineRule="auto"/>
        <w:jc w:val="center"/>
        <w:rPr>
          <w:rFonts w:ascii="Times New Roman" w:hAnsi="Times New Roman"/>
          <w:b/>
          <w:bCs/>
          <w:sz w:val="24"/>
          <w:szCs w:val="24"/>
        </w:rPr>
      </w:pPr>
    </w:p>
    <w:p w14:paraId="4A5C9535" w14:textId="0A0EAEF2" w:rsidR="00EB735A" w:rsidRPr="009A501D" w:rsidRDefault="007904E7" w:rsidP="00FB17F5">
      <w:pPr>
        <w:spacing w:line="480" w:lineRule="auto"/>
        <w:ind w:firstLine="720"/>
        <w:rPr>
          <w:rFonts w:ascii="Times New Roman" w:hAnsi="Times New Roman"/>
          <w:b/>
          <w:bCs/>
          <w:sz w:val="24"/>
          <w:szCs w:val="24"/>
        </w:rPr>
      </w:pPr>
      <w:r>
        <w:rPr>
          <w:rFonts w:ascii="Times New Roman" w:hAnsi="Times New Roman"/>
          <w:b/>
          <w:bCs/>
          <w:sz w:val="24"/>
          <w:szCs w:val="24"/>
        </w:rPr>
        <w:t xml:space="preserve">Aims and </w:t>
      </w:r>
      <w:r w:rsidR="00EB735A" w:rsidRPr="009A501D">
        <w:rPr>
          <w:rFonts w:ascii="Times New Roman" w:hAnsi="Times New Roman"/>
          <w:b/>
          <w:bCs/>
          <w:sz w:val="24"/>
          <w:szCs w:val="24"/>
        </w:rPr>
        <w:t>Objectives</w:t>
      </w:r>
    </w:p>
    <w:p w14:paraId="5CD4E5DF" w14:textId="77777777" w:rsidR="00922AA1" w:rsidRPr="009A501D" w:rsidRDefault="00026B6C" w:rsidP="00A80270">
      <w:pPr>
        <w:spacing w:line="480" w:lineRule="auto"/>
        <w:rPr>
          <w:rFonts w:ascii="Times New Roman" w:hAnsi="Times New Roman"/>
          <w:sz w:val="24"/>
          <w:szCs w:val="24"/>
        </w:rPr>
      </w:pPr>
      <w:r w:rsidRPr="009A501D">
        <w:rPr>
          <w:rFonts w:ascii="Times New Roman" w:hAnsi="Times New Roman"/>
          <w:sz w:val="24"/>
          <w:szCs w:val="24"/>
        </w:rPr>
        <w:t xml:space="preserve">From the </w:t>
      </w:r>
      <w:r w:rsidR="00F23E7F" w:rsidRPr="009A501D">
        <w:rPr>
          <w:rFonts w:ascii="Times New Roman" w:hAnsi="Times New Roman"/>
          <w:sz w:val="24"/>
          <w:szCs w:val="24"/>
        </w:rPr>
        <w:t>conception</w:t>
      </w:r>
      <w:r w:rsidRPr="009A501D">
        <w:rPr>
          <w:rFonts w:ascii="Times New Roman" w:hAnsi="Times New Roman"/>
          <w:sz w:val="24"/>
          <w:szCs w:val="24"/>
        </w:rPr>
        <w:t xml:space="preserve"> of the indigenous student, a radical approach </w:t>
      </w:r>
      <w:r w:rsidR="00F23E7F" w:rsidRPr="009A501D">
        <w:rPr>
          <w:rFonts w:ascii="Times New Roman" w:hAnsi="Times New Roman"/>
          <w:sz w:val="24"/>
          <w:szCs w:val="24"/>
        </w:rPr>
        <w:t>illuminated</w:t>
      </w:r>
      <w:r w:rsidRPr="009A501D">
        <w:rPr>
          <w:rFonts w:ascii="Times New Roman" w:hAnsi="Times New Roman"/>
          <w:sz w:val="24"/>
          <w:szCs w:val="24"/>
        </w:rPr>
        <w:t xml:space="preserve"> by racial difference has </w:t>
      </w:r>
      <w:r w:rsidR="00F23E7F" w:rsidRPr="009A501D">
        <w:rPr>
          <w:rFonts w:ascii="Times New Roman" w:hAnsi="Times New Roman"/>
          <w:sz w:val="24"/>
          <w:szCs w:val="24"/>
        </w:rPr>
        <w:t>contextualized</w:t>
      </w:r>
      <w:r w:rsidRPr="009A501D">
        <w:rPr>
          <w:rFonts w:ascii="Times New Roman" w:hAnsi="Times New Roman"/>
          <w:sz w:val="24"/>
          <w:szCs w:val="24"/>
        </w:rPr>
        <w:t xml:space="preserve"> the inequality in Australia. </w:t>
      </w:r>
      <w:r w:rsidR="00922AA1" w:rsidRPr="009A501D">
        <w:rPr>
          <w:rFonts w:ascii="Times New Roman" w:hAnsi="Times New Roman"/>
          <w:sz w:val="24"/>
          <w:szCs w:val="24"/>
        </w:rPr>
        <w:t xml:space="preserve">As education </w:t>
      </w:r>
      <w:r w:rsidR="00C6161A" w:rsidRPr="009A501D">
        <w:rPr>
          <w:rFonts w:ascii="Times New Roman" w:hAnsi="Times New Roman"/>
          <w:sz w:val="24"/>
          <w:szCs w:val="24"/>
        </w:rPr>
        <w:t xml:space="preserve">is </w:t>
      </w:r>
      <w:r w:rsidR="00922AA1" w:rsidRPr="009A501D">
        <w:rPr>
          <w:rFonts w:ascii="Times New Roman" w:hAnsi="Times New Roman"/>
          <w:sz w:val="24"/>
          <w:szCs w:val="24"/>
        </w:rPr>
        <w:t>associate</w:t>
      </w:r>
      <w:r w:rsidR="00C6161A" w:rsidRPr="009A501D">
        <w:rPr>
          <w:rFonts w:ascii="Times New Roman" w:hAnsi="Times New Roman"/>
          <w:sz w:val="24"/>
          <w:szCs w:val="24"/>
        </w:rPr>
        <w:t>d</w:t>
      </w:r>
      <w:r w:rsidR="00922AA1" w:rsidRPr="009A501D">
        <w:rPr>
          <w:rFonts w:ascii="Times New Roman" w:hAnsi="Times New Roman"/>
          <w:sz w:val="24"/>
          <w:szCs w:val="24"/>
        </w:rPr>
        <w:t xml:space="preserve"> </w:t>
      </w:r>
      <w:r w:rsidR="00C6161A" w:rsidRPr="009A501D">
        <w:rPr>
          <w:rFonts w:ascii="Times New Roman" w:hAnsi="Times New Roman"/>
          <w:sz w:val="24"/>
          <w:szCs w:val="24"/>
        </w:rPr>
        <w:t xml:space="preserve">with </w:t>
      </w:r>
      <w:r w:rsidR="00922AA1" w:rsidRPr="009A501D">
        <w:rPr>
          <w:rFonts w:ascii="Times New Roman" w:hAnsi="Times New Roman"/>
          <w:sz w:val="24"/>
          <w:szCs w:val="24"/>
        </w:rPr>
        <w:t xml:space="preserve">the </w:t>
      </w:r>
      <w:r w:rsidR="00C6161A" w:rsidRPr="009A501D">
        <w:rPr>
          <w:rFonts w:ascii="Times New Roman" w:hAnsi="Times New Roman"/>
          <w:sz w:val="24"/>
          <w:szCs w:val="24"/>
        </w:rPr>
        <w:t>standard</w:t>
      </w:r>
      <w:r w:rsidR="00922AA1" w:rsidRPr="009A501D">
        <w:rPr>
          <w:rFonts w:ascii="Times New Roman" w:hAnsi="Times New Roman"/>
          <w:sz w:val="24"/>
          <w:szCs w:val="24"/>
        </w:rPr>
        <w:t xml:space="preserve"> and agreed</w:t>
      </w:r>
      <w:r w:rsidR="00C6161A" w:rsidRPr="009A501D">
        <w:rPr>
          <w:rFonts w:ascii="Times New Roman" w:hAnsi="Times New Roman"/>
          <w:sz w:val="24"/>
          <w:szCs w:val="24"/>
        </w:rPr>
        <w:t xml:space="preserve"> on </w:t>
      </w:r>
      <w:r w:rsidR="00922AA1" w:rsidRPr="009A501D">
        <w:rPr>
          <w:rFonts w:ascii="Times New Roman" w:hAnsi="Times New Roman"/>
          <w:sz w:val="24"/>
          <w:szCs w:val="24"/>
        </w:rPr>
        <w:t xml:space="preserve">national goals, the research </w:t>
      </w:r>
      <w:r w:rsidR="00C6161A" w:rsidRPr="009A501D">
        <w:rPr>
          <w:rFonts w:ascii="Times New Roman" w:hAnsi="Times New Roman"/>
          <w:sz w:val="24"/>
          <w:szCs w:val="24"/>
        </w:rPr>
        <w:t>covers</w:t>
      </w:r>
      <w:r w:rsidR="00922AA1" w:rsidRPr="009A501D">
        <w:rPr>
          <w:rFonts w:ascii="Times New Roman" w:hAnsi="Times New Roman"/>
          <w:sz w:val="24"/>
          <w:szCs w:val="24"/>
        </w:rPr>
        <w:t xml:space="preserve"> the following in Australian education.</w:t>
      </w:r>
    </w:p>
    <w:p w14:paraId="6E83911F" w14:textId="77777777" w:rsidR="0063491E" w:rsidRPr="009636F5" w:rsidRDefault="004B24F3" w:rsidP="009636F5">
      <w:pPr>
        <w:numPr>
          <w:ilvl w:val="0"/>
          <w:numId w:val="5"/>
        </w:numPr>
        <w:spacing w:line="480" w:lineRule="auto"/>
        <w:rPr>
          <w:rFonts w:ascii="Times New Roman" w:hAnsi="Times New Roman"/>
          <w:sz w:val="24"/>
          <w:szCs w:val="24"/>
        </w:rPr>
      </w:pPr>
      <w:r w:rsidRPr="009636F5">
        <w:rPr>
          <w:rFonts w:ascii="Times New Roman" w:hAnsi="Times New Roman"/>
          <w:sz w:val="24"/>
          <w:szCs w:val="24"/>
        </w:rPr>
        <w:t>To evaluate the nature of education all young people are receiving to aid in boosting talent and capacities to full potential in cultural, s</w:t>
      </w:r>
      <w:r w:rsidR="009D10EC" w:rsidRPr="009636F5">
        <w:rPr>
          <w:rFonts w:ascii="Times New Roman" w:hAnsi="Times New Roman"/>
          <w:sz w:val="24"/>
          <w:szCs w:val="24"/>
        </w:rPr>
        <w:t>o</w:t>
      </w:r>
      <w:r w:rsidRPr="009636F5">
        <w:rPr>
          <w:rFonts w:ascii="Times New Roman" w:hAnsi="Times New Roman"/>
          <w:sz w:val="24"/>
          <w:szCs w:val="24"/>
        </w:rPr>
        <w:t>c</w:t>
      </w:r>
      <w:r w:rsidR="009D10EC" w:rsidRPr="009636F5">
        <w:rPr>
          <w:rFonts w:ascii="Times New Roman" w:hAnsi="Times New Roman"/>
          <w:sz w:val="24"/>
          <w:szCs w:val="24"/>
        </w:rPr>
        <w:t>i</w:t>
      </w:r>
      <w:r w:rsidRPr="009636F5">
        <w:rPr>
          <w:rFonts w:ascii="Times New Roman" w:hAnsi="Times New Roman"/>
          <w:sz w:val="24"/>
          <w:szCs w:val="24"/>
        </w:rPr>
        <w:t>al</w:t>
      </w:r>
      <w:r w:rsidR="00C6161A" w:rsidRPr="009636F5">
        <w:rPr>
          <w:rFonts w:ascii="Times New Roman" w:hAnsi="Times New Roman"/>
          <w:sz w:val="24"/>
          <w:szCs w:val="24"/>
        </w:rPr>
        <w:t>,</w:t>
      </w:r>
      <w:r w:rsidRPr="009636F5">
        <w:rPr>
          <w:rFonts w:ascii="Times New Roman" w:hAnsi="Times New Roman"/>
          <w:sz w:val="24"/>
          <w:szCs w:val="24"/>
        </w:rPr>
        <w:t xml:space="preserve"> and economic needs.</w:t>
      </w:r>
    </w:p>
    <w:p w14:paraId="51242920" w14:textId="5F49F746" w:rsidR="007904E7" w:rsidRDefault="007904E7" w:rsidP="00353365">
      <w:pPr>
        <w:numPr>
          <w:ilvl w:val="0"/>
          <w:numId w:val="2"/>
        </w:numPr>
        <w:spacing w:line="480" w:lineRule="auto"/>
        <w:rPr>
          <w:rFonts w:ascii="Times New Roman" w:hAnsi="Times New Roman"/>
          <w:sz w:val="24"/>
          <w:szCs w:val="24"/>
        </w:rPr>
      </w:pPr>
      <w:r>
        <w:rPr>
          <w:rFonts w:ascii="Times New Roman" w:hAnsi="Times New Roman"/>
          <w:sz w:val="24"/>
          <w:szCs w:val="24"/>
        </w:rPr>
        <w:t>To evaluate how a Trauma Informed Practices (TIP) will impact middle school student’s engagement, school behaviors and disciplinary absences, academic outcomes, and retention rate over one year.</w:t>
      </w:r>
    </w:p>
    <w:p w14:paraId="0A0CEB23" w14:textId="42160D11" w:rsidR="003B5E41" w:rsidRPr="007904E7" w:rsidRDefault="008C7639" w:rsidP="007904E7">
      <w:pPr>
        <w:numPr>
          <w:ilvl w:val="0"/>
          <w:numId w:val="2"/>
        </w:numPr>
        <w:spacing w:line="480" w:lineRule="auto"/>
        <w:rPr>
          <w:rFonts w:ascii="Times New Roman" w:hAnsi="Times New Roman"/>
          <w:sz w:val="24"/>
          <w:szCs w:val="24"/>
        </w:rPr>
      </w:pPr>
      <w:r w:rsidRPr="009A501D">
        <w:rPr>
          <w:rFonts w:ascii="Times New Roman" w:hAnsi="Times New Roman"/>
          <w:sz w:val="24"/>
          <w:szCs w:val="24"/>
        </w:rPr>
        <w:t xml:space="preserve">To </w:t>
      </w:r>
      <w:r w:rsidR="00761E68" w:rsidRPr="009A501D">
        <w:rPr>
          <w:rFonts w:ascii="Times New Roman" w:hAnsi="Times New Roman"/>
          <w:sz w:val="24"/>
          <w:szCs w:val="24"/>
        </w:rPr>
        <w:t xml:space="preserve">promote </w:t>
      </w:r>
      <w:r w:rsidR="00C6161A" w:rsidRPr="009A501D">
        <w:rPr>
          <w:rFonts w:ascii="Times New Roman" w:hAnsi="Times New Roman"/>
          <w:sz w:val="24"/>
          <w:szCs w:val="24"/>
        </w:rPr>
        <w:t xml:space="preserve">the </w:t>
      </w:r>
      <w:r w:rsidR="00761E68" w:rsidRPr="009A501D">
        <w:rPr>
          <w:rFonts w:ascii="Times New Roman" w:hAnsi="Times New Roman"/>
          <w:sz w:val="24"/>
          <w:szCs w:val="24"/>
        </w:rPr>
        <w:t>inclusion of Indigenous Australia</w:t>
      </w:r>
      <w:r w:rsidR="00C6161A" w:rsidRPr="009A501D">
        <w:rPr>
          <w:rFonts w:ascii="Times New Roman" w:hAnsi="Times New Roman"/>
          <w:sz w:val="24"/>
          <w:szCs w:val="24"/>
        </w:rPr>
        <w:t>n</w:t>
      </w:r>
      <w:r w:rsidR="00761E68" w:rsidRPr="009A501D">
        <w:rPr>
          <w:rFonts w:ascii="Times New Roman" w:hAnsi="Times New Roman"/>
          <w:sz w:val="24"/>
          <w:szCs w:val="24"/>
        </w:rPr>
        <w:t xml:space="preserve"> advocates in cultivating policies, </w:t>
      </w:r>
      <w:r w:rsidR="002C1513" w:rsidRPr="009A501D">
        <w:rPr>
          <w:rFonts w:ascii="Times New Roman" w:hAnsi="Times New Roman"/>
          <w:sz w:val="24"/>
          <w:szCs w:val="24"/>
        </w:rPr>
        <w:t>regulations</w:t>
      </w:r>
      <w:r w:rsidR="00C6161A" w:rsidRPr="009A501D">
        <w:rPr>
          <w:rFonts w:ascii="Times New Roman" w:hAnsi="Times New Roman"/>
          <w:sz w:val="24"/>
          <w:szCs w:val="24"/>
        </w:rPr>
        <w:t>,</w:t>
      </w:r>
      <w:r w:rsidR="002C1513" w:rsidRPr="009A501D">
        <w:rPr>
          <w:rFonts w:ascii="Times New Roman" w:hAnsi="Times New Roman"/>
          <w:sz w:val="24"/>
          <w:szCs w:val="24"/>
        </w:rPr>
        <w:t xml:space="preserve"> </w:t>
      </w:r>
      <w:r w:rsidR="00761E68" w:rsidRPr="009A501D">
        <w:rPr>
          <w:rFonts w:ascii="Times New Roman" w:hAnsi="Times New Roman"/>
          <w:sz w:val="24"/>
          <w:szCs w:val="24"/>
        </w:rPr>
        <w:t xml:space="preserve">and </w:t>
      </w:r>
      <w:r w:rsidR="00EF4C8E" w:rsidRPr="009A501D">
        <w:rPr>
          <w:rFonts w:ascii="Times New Roman" w:hAnsi="Times New Roman"/>
          <w:sz w:val="24"/>
          <w:szCs w:val="24"/>
        </w:rPr>
        <w:t>measures</w:t>
      </w:r>
      <w:r w:rsidR="00761E68" w:rsidRPr="009A501D">
        <w:rPr>
          <w:rFonts w:ascii="Times New Roman" w:hAnsi="Times New Roman"/>
          <w:sz w:val="24"/>
          <w:szCs w:val="24"/>
        </w:rPr>
        <w:t xml:space="preserve"> that remain a backbone for an equal education system in Australia. </w:t>
      </w:r>
    </w:p>
    <w:p w14:paraId="604D7242" w14:textId="77777777" w:rsidR="003B5E41" w:rsidRDefault="003B5E41" w:rsidP="00931FCF">
      <w:pPr>
        <w:spacing w:line="480" w:lineRule="auto"/>
        <w:jc w:val="center"/>
        <w:rPr>
          <w:rFonts w:ascii="Times New Roman" w:hAnsi="Times New Roman"/>
          <w:b/>
          <w:bCs/>
          <w:sz w:val="24"/>
          <w:szCs w:val="24"/>
        </w:rPr>
      </w:pPr>
    </w:p>
    <w:p w14:paraId="580A5308" w14:textId="2CA5662C" w:rsidR="0063491E" w:rsidRPr="009A501D" w:rsidRDefault="0063491E" w:rsidP="00931FCF">
      <w:pPr>
        <w:spacing w:line="480" w:lineRule="auto"/>
        <w:jc w:val="center"/>
        <w:rPr>
          <w:rFonts w:ascii="Times New Roman" w:hAnsi="Times New Roman"/>
          <w:b/>
          <w:bCs/>
          <w:sz w:val="24"/>
          <w:szCs w:val="24"/>
        </w:rPr>
      </w:pPr>
      <w:r w:rsidRPr="009A501D">
        <w:rPr>
          <w:rFonts w:ascii="Times New Roman" w:hAnsi="Times New Roman"/>
          <w:b/>
          <w:bCs/>
          <w:sz w:val="24"/>
          <w:szCs w:val="24"/>
        </w:rPr>
        <w:t xml:space="preserve">Methods and </w:t>
      </w:r>
      <w:r w:rsidR="00EE0095" w:rsidRPr="009A501D">
        <w:rPr>
          <w:rFonts w:ascii="Times New Roman" w:hAnsi="Times New Roman"/>
          <w:b/>
          <w:bCs/>
          <w:sz w:val="24"/>
          <w:szCs w:val="24"/>
        </w:rPr>
        <w:t>M</w:t>
      </w:r>
      <w:r w:rsidRPr="009A501D">
        <w:rPr>
          <w:rFonts w:ascii="Times New Roman" w:hAnsi="Times New Roman"/>
          <w:b/>
          <w:bCs/>
          <w:sz w:val="24"/>
          <w:szCs w:val="24"/>
        </w:rPr>
        <w:t>ethodological Approach</w:t>
      </w:r>
    </w:p>
    <w:p w14:paraId="1F20376B" w14:textId="727A37AD" w:rsidR="00EC7A12" w:rsidRPr="009A501D" w:rsidRDefault="006F5117" w:rsidP="00A80270">
      <w:pPr>
        <w:spacing w:line="480" w:lineRule="auto"/>
        <w:rPr>
          <w:rFonts w:ascii="Times New Roman" w:hAnsi="Times New Roman"/>
          <w:sz w:val="24"/>
          <w:szCs w:val="24"/>
        </w:rPr>
      </w:pPr>
      <w:r w:rsidRPr="009A501D">
        <w:rPr>
          <w:rFonts w:ascii="Times New Roman" w:hAnsi="Times New Roman"/>
          <w:sz w:val="24"/>
          <w:szCs w:val="24"/>
        </w:rPr>
        <w:t xml:space="preserve">The study will consider qualitative methods to cover the </w:t>
      </w:r>
      <w:r w:rsidR="00AA353A">
        <w:rPr>
          <w:rFonts w:ascii="Times New Roman" w:hAnsi="Times New Roman"/>
          <w:sz w:val="24"/>
          <w:szCs w:val="24"/>
        </w:rPr>
        <w:t>broa</w:t>
      </w:r>
      <w:r w:rsidRPr="009A501D">
        <w:rPr>
          <w:rFonts w:ascii="Times New Roman" w:hAnsi="Times New Roman"/>
          <w:sz w:val="24"/>
          <w:szCs w:val="24"/>
        </w:rPr>
        <w:t xml:space="preserve">der scope of </w:t>
      </w:r>
      <w:r w:rsidR="00AA353A">
        <w:rPr>
          <w:rFonts w:ascii="Times New Roman" w:hAnsi="Times New Roman"/>
          <w:sz w:val="24"/>
          <w:szCs w:val="24"/>
        </w:rPr>
        <w:t xml:space="preserve">the </w:t>
      </w:r>
      <w:r w:rsidRPr="009A501D">
        <w:rPr>
          <w:rFonts w:ascii="Times New Roman" w:hAnsi="Times New Roman"/>
          <w:sz w:val="24"/>
          <w:szCs w:val="24"/>
        </w:rPr>
        <w:t xml:space="preserve">unequal distribution </w:t>
      </w:r>
      <w:r w:rsidR="00AA353A">
        <w:rPr>
          <w:rFonts w:ascii="Times New Roman" w:hAnsi="Times New Roman"/>
          <w:sz w:val="24"/>
          <w:szCs w:val="24"/>
        </w:rPr>
        <w:t xml:space="preserve">of </w:t>
      </w:r>
      <w:r w:rsidRPr="009A501D">
        <w:rPr>
          <w:rFonts w:ascii="Times New Roman" w:hAnsi="Times New Roman"/>
          <w:sz w:val="24"/>
          <w:szCs w:val="24"/>
        </w:rPr>
        <w:t xml:space="preserve">educational </w:t>
      </w:r>
      <w:r w:rsidR="00DC0CAA" w:rsidRPr="009A501D">
        <w:rPr>
          <w:rFonts w:ascii="Times New Roman" w:hAnsi="Times New Roman"/>
          <w:sz w:val="24"/>
          <w:szCs w:val="24"/>
        </w:rPr>
        <w:t>resources</w:t>
      </w:r>
      <w:r w:rsidRPr="009A501D">
        <w:rPr>
          <w:rFonts w:ascii="Times New Roman" w:hAnsi="Times New Roman"/>
          <w:sz w:val="24"/>
          <w:szCs w:val="24"/>
        </w:rPr>
        <w:t xml:space="preserve"> in Australia.</w:t>
      </w:r>
      <w:r w:rsidR="00DC0CAA" w:rsidRPr="009A501D">
        <w:rPr>
          <w:rFonts w:ascii="Times New Roman" w:hAnsi="Times New Roman"/>
          <w:sz w:val="24"/>
          <w:szCs w:val="24"/>
        </w:rPr>
        <w:t xml:space="preserve"> </w:t>
      </w:r>
      <w:r w:rsidR="00AA353A">
        <w:rPr>
          <w:rFonts w:ascii="Times New Roman" w:hAnsi="Times New Roman"/>
          <w:sz w:val="24"/>
          <w:szCs w:val="24"/>
        </w:rPr>
        <w:t>T</w:t>
      </w:r>
      <w:r w:rsidR="00BE0A4A" w:rsidRPr="009A501D">
        <w:rPr>
          <w:rFonts w:ascii="Times New Roman" w:hAnsi="Times New Roman"/>
          <w:sz w:val="24"/>
          <w:szCs w:val="24"/>
        </w:rPr>
        <w:t xml:space="preserve">he study </w:t>
      </w:r>
      <w:r w:rsidR="00A34BA2" w:rsidRPr="009A501D">
        <w:rPr>
          <w:rFonts w:ascii="Times New Roman" w:hAnsi="Times New Roman"/>
          <w:sz w:val="24"/>
          <w:szCs w:val="24"/>
        </w:rPr>
        <w:t>p</w:t>
      </w:r>
      <w:r w:rsidR="00AA353A">
        <w:rPr>
          <w:rFonts w:ascii="Times New Roman" w:hAnsi="Times New Roman"/>
          <w:sz w:val="24"/>
          <w:szCs w:val="24"/>
        </w:rPr>
        <w:t>ro</w:t>
      </w:r>
      <w:r w:rsidR="00A34BA2" w:rsidRPr="009A501D">
        <w:rPr>
          <w:rFonts w:ascii="Times New Roman" w:hAnsi="Times New Roman"/>
          <w:sz w:val="24"/>
          <w:szCs w:val="24"/>
        </w:rPr>
        <w:t>poses</w:t>
      </w:r>
      <w:r w:rsidR="00BE0A4A" w:rsidRPr="009A501D">
        <w:rPr>
          <w:rFonts w:ascii="Times New Roman" w:hAnsi="Times New Roman"/>
          <w:sz w:val="24"/>
          <w:szCs w:val="24"/>
        </w:rPr>
        <w:t xml:space="preserve"> to approach and conduct a critical analysis of the educational discourse using key Australian education policies, matters on difference, equity, social justice, and improvement in education</w:t>
      </w:r>
      <w:r w:rsidR="00DB357C" w:rsidRPr="009A501D">
        <w:rPr>
          <w:rFonts w:ascii="Times New Roman" w:hAnsi="Times New Roman"/>
          <w:sz w:val="24"/>
          <w:szCs w:val="24"/>
        </w:rPr>
        <w:t xml:space="preserve"> (Altman, </w:t>
      </w:r>
      <w:r w:rsidR="00DB357C" w:rsidRPr="009A501D">
        <w:rPr>
          <w:rFonts w:ascii="Times New Roman" w:hAnsi="Times New Roman"/>
          <w:sz w:val="24"/>
          <w:szCs w:val="24"/>
        </w:rPr>
        <w:lastRenderedPageBreak/>
        <w:t>Hunter &amp; Biddle, 2018)</w:t>
      </w:r>
      <w:r w:rsidR="00BE0A4A" w:rsidRPr="009A501D">
        <w:rPr>
          <w:rFonts w:ascii="Times New Roman" w:hAnsi="Times New Roman"/>
          <w:sz w:val="24"/>
          <w:szCs w:val="24"/>
        </w:rPr>
        <w:t>.</w:t>
      </w:r>
      <w:r w:rsidR="00BC3E9A" w:rsidRPr="009A501D">
        <w:rPr>
          <w:rFonts w:ascii="Times New Roman" w:hAnsi="Times New Roman"/>
          <w:sz w:val="24"/>
          <w:szCs w:val="24"/>
        </w:rPr>
        <w:t xml:space="preserve"> </w:t>
      </w:r>
      <w:r w:rsidR="00745EFB" w:rsidRPr="009A501D">
        <w:rPr>
          <w:rFonts w:ascii="Times New Roman" w:hAnsi="Times New Roman"/>
          <w:sz w:val="24"/>
          <w:szCs w:val="24"/>
        </w:rPr>
        <w:t>In developing both research designs, the study prompts the whole of Australia as the targeted focus, where data pertai</w:t>
      </w:r>
      <w:r w:rsidR="00DD4BC6" w:rsidRPr="009A501D">
        <w:rPr>
          <w:rFonts w:ascii="Times New Roman" w:hAnsi="Times New Roman"/>
          <w:sz w:val="24"/>
          <w:szCs w:val="24"/>
        </w:rPr>
        <w:t>ni</w:t>
      </w:r>
      <w:r w:rsidR="00745EFB" w:rsidRPr="009A501D">
        <w:rPr>
          <w:rFonts w:ascii="Times New Roman" w:hAnsi="Times New Roman"/>
          <w:sz w:val="24"/>
          <w:szCs w:val="24"/>
        </w:rPr>
        <w:t xml:space="preserve">ng </w:t>
      </w:r>
      <w:r w:rsidR="00AA353A">
        <w:rPr>
          <w:rFonts w:ascii="Times New Roman" w:hAnsi="Times New Roman"/>
          <w:sz w:val="24"/>
          <w:szCs w:val="24"/>
        </w:rPr>
        <w:t xml:space="preserve">to </w:t>
      </w:r>
      <w:r w:rsidR="000D7447" w:rsidRPr="009A501D">
        <w:rPr>
          <w:rFonts w:ascii="Times New Roman" w:hAnsi="Times New Roman"/>
          <w:sz w:val="24"/>
          <w:szCs w:val="24"/>
        </w:rPr>
        <w:t>indigenous</w:t>
      </w:r>
      <w:r w:rsidR="00745EFB" w:rsidRPr="009A501D">
        <w:rPr>
          <w:rFonts w:ascii="Times New Roman" w:hAnsi="Times New Roman"/>
          <w:sz w:val="24"/>
          <w:szCs w:val="24"/>
        </w:rPr>
        <w:t xml:space="preserve"> and non-indigenous students, the social policies, the education sector</w:t>
      </w:r>
      <w:r w:rsidR="00AA353A">
        <w:rPr>
          <w:rFonts w:ascii="Times New Roman" w:hAnsi="Times New Roman"/>
          <w:sz w:val="24"/>
          <w:szCs w:val="24"/>
        </w:rPr>
        <w:t>,</w:t>
      </w:r>
      <w:r w:rsidR="00745EFB" w:rsidRPr="009A501D">
        <w:rPr>
          <w:rFonts w:ascii="Times New Roman" w:hAnsi="Times New Roman"/>
          <w:sz w:val="24"/>
          <w:szCs w:val="24"/>
        </w:rPr>
        <w:t xml:space="preserve"> and people’s mindset</w:t>
      </w:r>
      <w:r w:rsidR="00AA353A">
        <w:rPr>
          <w:rFonts w:ascii="Times New Roman" w:hAnsi="Times New Roman"/>
          <w:sz w:val="24"/>
          <w:szCs w:val="24"/>
        </w:rPr>
        <w:t>s</w:t>
      </w:r>
      <w:r w:rsidR="00745EFB" w:rsidRPr="009A501D">
        <w:rPr>
          <w:rFonts w:ascii="Times New Roman" w:hAnsi="Times New Roman"/>
          <w:sz w:val="24"/>
          <w:szCs w:val="24"/>
        </w:rPr>
        <w:t xml:space="preserve"> will be precise in offering insight</w:t>
      </w:r>
      <w:r w:rsidR="00781ED2" w:rsidRPr="009A501D">
        <w:rPr>
          <w:rFonts w:ascii="Times New Roman" w:hAnsi="Times New Roman"/>
          <w:sz w:val="24"/>
          <w:szCs w:val="24"/>
        </w:rPr>
        <w:t xml:space="preserve"> (Fahey, 2021)</w:t>
      </w:r>
      <w:r w:rsidR="00745EFB" w:rsidRPr="009A501D">
        <w:rPr>
          <w:rFonts w:ascii="Times New Roman" w:hAnsi="Times New Roman"/>
          <w:sz w:val="24"/>
          <w:szCs w:val="24"/>
        </w:rPr>
        <w:t xml:space="preserve">. </w:t>
      </w:r>
    </w:p>
    <w:p w14:paraId="31FAD1B9" w14:textId="77777777" w:rsidR="00467223" w:rsidRPr="00A80270" w:rsidRDefault="00321FBB" w:rsidP="006E59DC">
      <w:pPr>
        <w:spacing w:line="480" w:lineRule="auto"/>
        <w:ind w:firstLine="720"/>
        <w:rPr>
          <w:rFonts w:ascii="Times New Roman" w:hAnsi="Times New Roman"/>
          <w:b/>
          <w:bCs/>
          <w:sz w:val="24"/>
          <w:szCs w:val="24"/>
        </w:rPr>
      </w:pPr>
      <w:r w:rsidRPr="00A80270">
        <w:rPr>
          <w:rFonts w:ascii="Times New Roman" w:hAnsi="Times New Roman"/>
          <w:b/>
          <w:bCs/>
          <w:sz w:val="24"/>
          <w:szCs w:val="24"/>
        </w:rPr>
        <w:t xml:space="preserve">Qualitative Research </w:t>
      </w:r>
      <w:r w:rsidR="00AA353A" w:rsidRPr="00A80270">
        <w:rPr>
          <w:rFonts w:ascii="Times New Roman" w:hAnsi="Times New Roman"/>
          <w:b/>
          <w:bCs/>
          <w:sz w:val="24"/>
          <w:szCs w:val="24"/>
        </w:rPr>
        <w:t>M</w:t>
      </w:r>
      <w:r w:rsidRPr="00A80270">
        <w:rPr>
          <w:rFonts w:ascii="Times New Roman" w:hAnsi="Times New Roman"/>
          <w:b/>
          <w:bCs/>
          <w:sz w:val="24"/>
          <w:szCs w:val="24"/>
        </w:rPr>
        <w:t>ethod</w:t>
      </w:r>
    </w:p>
    <w:p w14:paraId="7E4C757A" w14:textId="5DBCB3F0" w:rsidR="00F75036" w:rsidRDefault="000323BA" w:rsidP="00A80270">
      <w:pPr>
        <w:spacing w:line="480" w:lineRule="auto"/>
        <w:rPr>
          <w:rFonts w:ascii="Times New Roman" w:hAnsi="Times New Roman"/>
          <w:sz w:val="24"/>
          <w:szCs w:val="24"/>
        </w:rPr>
      </w:pPr>
      <w:r w:rsidRPr="009A501D">
        <w:rPr>
          <w:rFonts w:ascii="Times New Roman" w:hAnsi="Times New Roman"/>
          <w:sz w:val="24"/>
          <w:szCs w:val="24"/>
        </w:rPr>
        <w:t xml:space="preserve">The research </w:t>
      </w:r>
      <w:r w:rsidR="00AA353A">
        <w:rPr>
          <w:rFonts w:ascii="Times New Roman" w:hAnsi="Times New Roman"/>
          <w:sz w:val="24"/>
          <w:szCs w:val="24"/>
        </w:rPr>
        <w:t>on closing the educational gap among Indigenous Australians will utilize case study research, one-on-one interviews</w:t>
      </w:r>
      <w:r w:rsidR="005631C4" w:rsidRPr="009A501D">
        <w:rPr>
          <w:rFonts w:ascii="Times New Roman" w:hAnsi="Times New Roman"/>
          <w:sz w:val="24"/>
          <w:szCs w:val="24"/>
        </w:rPr>
        <w:t xml:space="preserve">, and </w:t>
      </w:r>
      <w:r w:rsidR="00EA58F4" w:rsidRPr="009A501D">
        <w:rPr>
          <w:rFonts w:ascii="Times New Roman" w:hAnsi="Times New Roman"/>
          <w:sz w:val="24"/>
          <w:szCs w:val="24"/>
        </w:rPr>
        <w:t>ethnographic research</w:t>
      </w:r>
      <w:r w:rsidR="005631C4" w:rsidRPr="009A501D">
        <w:rPr>
          <w:rFonts w:ascii="Times New Roman" w:hAnsi="Times New Roman"/>
          <w:sz w:val="24"/>
          <w:szCs w:val="24"/>
        </w:rPr>
        <w:t>.</w:t>
      </w:r>
      <w:r w:rsidR="00346F26" w:rsidRPr="009A501D">
        <w:rPr>
          <w:rFonts w:ascii="Times New Roman" w:hAnsi="Times New Roman"/>
          <w:sz w:val="24"/>
          <w:szCs w:val="24"/>
        </w:rPr>
        <w:t xml:space="preserve"> </w:t>
      </w:r>
      <w:r w:rsidR="00EA58F4" w:rsidRPr="009A501D">
        <w:rPr>
          <w:rFonts w:ascii="Times New Roman" w:hAnsi="Times New Roman"/>
          <w:sz w:val="24"/>
          <w:szCs w:val="24"/>
        </w:rPr>
        <w:t>To mitigate the already recorded data,</w:t>
      </w:r>
      <w:r w:rsidR="00346F26" w:rsidRPr="009A501D">
        <w:rPr>
          <w:rFonts w:ascii="Times New Roman" w:hAnsi="Times New Roman"/>
          <w:sz w:val="24"/>
          <w:szCs w:val="24"/>
        </w:rPr>
        <w:t xml:space="preserve"> </w:t>
      </w:r>
      <w:r w:rsidR="00264951" w:rsidRPr="009A501D">
        <w:rPr>
          <w:rFonts w:ascii="Times New Roman" w:hAnsi="Times New Roman"/>
          <w:sz w:val="24"/>
          <w:szCs w:val="24"/>
        </w:rPr>
        <w:t xml:space="preserve">the environment where the research will undertake and understanding </w:t>
      </w:r>
      <w:r w:rsidR="00AA353A">
        <w:rPr>
          <w:rFonts w:ascii="Times New Roman" w:hAnsi="Times New Roman"/>
          <w:sz w:val="24"/>
          <w:szCs w:val="24"/>
        </w:rPr>
        <w:t xml:space="preserve">of </w:t>
      </w:r>
      <w:r w:rsidR="00264951" w:rsidRPr="009A501D">
        <w:rPr>
          <w:rFonts w:ascii="Times New Roman" w:hAnsi="Times New Roman"/>
          <w:sz w:val="24"/>
          <w:szCs w:val="24"/>
        </w:rPr>
        <w:t>the culture, challenge, motivations</w:t>
      </w:r>
      <w:r w:rsidR="00AA353A">
        <w:rPr>
          <w:rFonts w:ascii="Times New Roman" w:hAnsi="Times New Roman"/>
          <w:sz w:val="24"/>
          <w:szCs w:val="24"/>
        </w:rPr>
        <w:t>,</w:t>
      </w:r>
      <w:r w:rsidR="00264951" w:rsidRPr="009A501D">
        <w:rPr>
          <w:rFonts w:ascii="Times New Roman" w:hAnsi="Times New Roman"/>
          <w:sz w:val="24"/>
          <w:szCs w:val="24"/>
        </w:rPr>
        <w:t xml:space="preserve"> and settings that occur within the region</w:t>
      </w:r>
      <w:r w:rsidR="00F96314" w:rsidRPr="009A501D">
        <w:rPr>
          <w:rFonts w:ascii="Times New Roman" w:hAnsi="Times New Roman"/>
          <w:sz w:val="24"/>
          <w:szCs w:val="24"/>
        </w:rPr>
        <w:t xml:space="preserve"> (Willems, 2012)</w:t>
      </w:r>
      <w:r w:rsidR="00264951" w:rsidRPr="009A501D">
        <w:rPr>
          <w:rFonts w:ascii="Times New Roman" w:hAnsi="Times New Roman"/>
          <w:sz w:val="24"/>
          <w:szCs w:val="24"/>
        </w:rPr>
        <w:t xml:space="preserve">. </w:t>
      </w:r>
    </w:p>
    <w:p w14:paraId="5643D044" w14:textId="59C84188" w:rsidR="00321FBB" w:rsidRPr="009A501D" w:rsidRDefault="00AA353A" w:rsidP="00A80270">
      <w:pPr>
        <w:spacing w:line="480" w:lineRule="auto"/>
        <w:rPr>
          <w:rFonts w:ascii="Times New Roman" w:hAnsi="Times New Roman"/>
          <w:sz w:val="24"/>
          <w:szCs w:val="24"/>
        </w:rPr>
      </w:pPr>
      <w:r>
        <w:rPr>
          <w:rFonts w:ascii="Times New Roman" w:hAnsi="Times New Roman"/>
          <w:sz w:val="24"/>
          <w:szCs w:val="24"/>
        </w:rPr>
        <w:t>The c</w:t>
      </w:r>
      <w:r w:rsidR="004C77C3" w:rsidRPr="009A501D">
        <w:rPr>
          <w:rFonts w:ascii="Times New Roman" w:hAnsi="Times New Roman"/>
          <w:sz w:val="24"/>
          <w:szCs w:val="24"/>
        </w:rPr>
        <w:t xml:space="preserve">ase-study research design </w:t>
      </w:r>
      <w:r w:rsidR="00B2247F" w:rsidRPr="009A501D">
        <w:rPr>
          <w:rFonts w:ascii="Times New Roman" w:hAnsi="Times New Roman"/>
          <w:sz w:val="24"/>
          <w:szCs w:val="24"/>
        </w:rPr>
        <w:t xml:space="preserve">will focus on collecting previous trials to </w:t>
      </w:r>
      <w:r w:rsidR="00715D28" w:rsidRPr="009A501D">
        <w:rPr>
          <w:rFonts w:ascii="Times New Roman" w:hAnsi="Times New Roman"/>
          <w:sz w:val="24"/>
          <w:szCs w:val="24"/>
        </w:rPr>
        <w:t>accentuate</w:t>
      </w:r>
      <w:r w:rsidR="00B2247F" w:rsidRPr="009A501D">
        <w:rPr>
          <w:rFonts w:ascii="Times New Roman" w:hAnsi="Times New Roman"/>
          <w:sz w:val="24"/>
          <w:szCs w:val="24"/>
        </w:rPr>
        <w:t xml:space="preserve"> </w:t>
      </w:r>
      <w:r w:rsidR="00715D28" w:rsidRPr="009A501D">
        <w:rPr>
          <w:rFonts w:ascii="Times New Roman" w:hAnsi="Times New Roman"/>
          <w:sz w:val="24"/>
          <w:szCs w:val="24"/>
        </w:rPr>
        <w:t>methods</w:t>
      </w:r>
      <w:r w:rsidR="00B2247F" w:rsidRPr="009A501D">
        <w:rPr>
          <w:rFonts w:ascii="Times New Roman" w:hAnsi="Times New Roman"/>
          <w:sz w:val="24"/>
          <w:szCs w:val="24"/>
        </w:rPr>
        <w:t xml:space="preserve"> that were used to provide solution</w:t>
      </w:r>
      <w:r>
        <w:rPr>
          <w:rFonts w:ascii="Times New Roman" w:hAnsi="Times New Roman"/>
          <w:sz w:val="24"/>
          <w:szCs w:val="24"/>
        </w:rPr>
        <w:t>s</w:t>
      </w:r>
      <w:r w:rsidR="00B2247F" w:rsidRPr="009A501D">
        <w:rPr>
          <w:rFonts w:ascii="Times New Roman" w:hAnsi="Times New Roman"/>
          <w:sz w:val="24"/>
          <w:szCs w:val="24"/>
        </w:rPr>
        <w:t xml:space="preserve"> for closing the </w:t>
      </w:r>
      <w:r w:rsidR="00167C29" w:rsidRPr="009A501D">
        <w:rPr>
          <w:rFonts w:ascii="Times New Roman" w:hAnsi="Times New Roman"/>
          <w:sz w:val="24"/>
          <w:szCs w:val="24"/>
        </w:rPr>
        <w:t>educational</w:t>
      </w:r>
      <w:r w:rsidR="00B2247F" w:rsidRPr="009A501D">
        <w:rPr>
          <w:rFonts w:ascii="Times New Roman" w:hAnsi="Times New Roman"/>
          <w:sz w:val="24"/>
          <w:szCs w:val="24"/>
        </w:rPr>
        <w:t xml:space="preserve"> gap. </w:t>
      </w:r>
      <w:r w:rsidR="00167C29" w:rsidRPr="009A501D">
        <w:rPr>
          <w:rFonts w:ascii="Times New Roman" w:hAnsi="Times New Roman"/>
          <w:sz w:val="24"/>
          <w:szCs w:val="24"/>
        </w:rPr>
        <w:t xml:space="preserve">The innumerable prioritization given to the indigenous students </w:t>
      </w:r>
      <w:r>
        <w:rPr>
          <w:rFonts w:ascii="Times New Roman" w:hAnsi="Times New Roman"/>
          <w:sz w:val="24"/>
          <w:szCs w:val="24"/>
        </w:rPr>
        <w:t>i</w:t>
      </w:r>
      <w:r w:rsidR="00167C29" w:rsidRPr="009A501D">
        <w:rPr>
          <w:rFonts w:ascii="Times New Roman" w:hAnsi="Times New Roman"/>
          <w:sz w:val="24"/>
          <w:szCs w:val="24"/>
        </w:rPr>
        <w:t>s the objective</w:t>
      </w:r>
      <w:r w:rsidR="002E027E" w:rsidRPr="009A501D">
        <w:rPr>
          <w:rFonts w:ascii="Times New Roman" w:hAnsi="Times New Roman"/>
          <w:sz w:val="24"/>
          <w:szCs w:val="24"/>
        </w:rPr>
        <w:t>.</w:t>
      </w:r>
      <w:r w:rsidR="00B97D27" w:rsidRPr="009A501D">
        <w:rPr>
          <w:rFonts w:ascii="Times New Roman" w:hAnsi="Times New Roman"/>
          <w:sz w:val="24"/>
          <w:szCs w:val="24"/>
        </w:rPr>
        <w:t xml:space="preserve"> Case-study </w:t>
      </w:r>
      <w:r w:rsidR="005A1757" w:rsidRPr="009A501D">
        <w:rPr>
          <w:rFonts w:ascii="Times New Roman" w:hAnsi="Times New Roman"/>
          <w:sz w:val="24"/>
          <w:szCs w:val="24"/>
        </w:rPr>
        <w:t>design</w:t>
      </w:r>
      <w:r w:rsidR="00B97D27" w:rsidRPr="009A501D">
        <w:rPr>
          <w:rFonts w:ascii="Times New Roman" w:hAnsi="Times New Roman"/>
          <w:sz w:val="24"/>
          <w:szCs w:val="24"/>
        </w:rPr>
        <w:t xml:space="preserve"> will </w:t>
      </w:r>
      <w:r>
        <w:rPr>
          <w:rFonts w:ascii="Times New Roman" w:hAnsi="Times New Roman"/>
          <w:sz w:val="24"/>
          <w:szCs w:val="24"/>
        </w:rPr>
        <w:t>focus on</w:t>
      </w:r>
      <w:r w:rsidR="00B97D27" w:rsidRPr="009A501D">
        <w:rPr>
          <w:rFonts w:ascii="Times New Roman" w:hAnsi="Times New Roman"/>
          <w:sz w:val="24"/>
          <w:szCs w:val="24"/>
        </w:rPr>
        <w:t xml:space="preserve"> trials, </w:t>
      </w:r>
      <w:r w:rsidR="00611BE3" w:rsidRPr="009A501D">
        <w:rPr>
          <w:rFonts w:ascii="Times New Roman" w:hAnsi="Times New Roman"/>
          <w:sz w:val="24"/>
          <w:szCs w:val="24"/>
        </w:rPr>
        <w:t>government-initiated</w:t>
      </w:r>
      <w:r w:rsidR="00B97D27" w:rsidRPr="009A501D">
        <w:rPr>
          <w:rFonts w:ascii="Times New Roman" w:hAnsi="Times New Roman"/>
          <w:sz w:val="24"/>
          <w:szCs w:val="24"/>
        </w:rPr>
        <w:t xml:space="preserve"> programs, regional population research studies on indigenous and the increasing educational gap</w:t>
      </w:r>
      <w:r w:rsidR="00E37CE9" w:rsidRPr="009A501D">
        <w:rPr>
          <w:rFonts w:ascii="Times New Roman" w:hAnsi="Times New Roman"/>
          <w:sz w:val="24"/>
          <w:szCs w:val="24"/>
        </w:rPr>
        <w:t xml:space="preserve"> (McConney et al., 2011)</w:t>
      </w:r>
      <w:r w:rsidR="005A1757" w:rsidRPr="009A501D">
        <w:rPr>
          <w:rFonts w:ascii="Times New Roman" w:hAnsi="Times New Roman"/>
          <w:sz w:val="24"/>
          <w:szCs w:val="24"/>
        </w:rPr>
        <w:t xml:space="preserve">. Secondary resources </w:t>
      </w:r>
      <w:r w:rsidR="001967CF" w:rsidRPr="009A501D">
        <w:rPr>
          <w:rFonts w:ascii="Times New Roman" w:hAnsi="Times New Roman"/>
          <w:sz w:val="24"/>
          <w:szCs w:val="24"/>
        </w:rPr>
        <w:t>and libraries within Australia will provide enormous exposure and focused attention</w:t>
      </w:r>
      <w:r w:rsidR="00F518AB" w:rsidRPr="009A501D">
        <w:rPr>
          <w:rFonts w:ascii="Times New Roman" w:hAnsi="Times New Roman"/>
          <w:sz w:val="24"/>
          <w:szCs w:val="24"/>
        </w:rPr>
        <w:t xml:space="preserve"> to alleviate the </w:t>
      </w:r>
      <w:r w:rsidR="004B4317" w:rsidRPr="009A501D">
        <w:rPr>
          <w:rFonts w:ascii="Times New Roman" w:hAnsi="Times New Roman"/>
          <w:sz w:val="24"/>
          <w:szCs w:val="24"/>
        </w:rPr>
        <w:t>existing</w:t>
      </w:r>
      <w:r w:rsidR="00F518AB" w:rsidRPr="009A501D">
        <w:rPr>
          <w:rFonts w:ascii="Times New Roman" w:hAnsi="Times New Roman"/>
          <w:sz w:val="24"/>
          <w:szCs w:val="24"/>
        </w:rPr>
        <w:t xml:space="preserve"> </w:t>
      </w:r>
      <w:r w:rsidR="004B4317" w:rsidRPr="009A501D">
        <w:rPr>
          <w:rFonts w:ascii="Times New Roman" w:hAnsi="Times New Roman"/>
          <w:sz w:val="24"/>
          <w:szCs w:val="24"/>
        </w:rPr>
        <w:t>challenges</w:t>
      </w:r>
      <w:r w:rsidR="00F518AB" w:rsidRPr="009A501D">
        <w:rPr>
          <w:rFonts w:ascii="Times New Roman" w:hAnsi="Times New Roman"/>
          <w:sz w:val="24"/>
          <w:szCs w:val="24"/>
        </w:rPr>
        <w:t xml:space="preserve">. </w:t>
      </w:r>
      <w:r w:rsidR="00FD62F2" w:rsidRPr="009A501D">
        <w:rPr>
          <w:rFonts w:ascii="Times New Roman" w:hAnsi="Times New Roman"/>
          <w:sz w:val="24"/>
          <w:szCs w:val="24"/>
        </w:rPr>
        <w:t>This method prompts its ability to further its deep-dive and thorough understanding of the collection methods and ways to infer that data.</w:t>
      </w:r>
      <w:r w:rsidR="00B97D27" w:rsidRPr="009A501D">
        <w:rPr>
          <w:rFonts w:ascii="Times New Roman" w:hAnsi="Times New Roman"/>
          <w:sz w:val="24"/>
          <w:szCs w:val="24"/>
        </w:rPr>
        <w:t xml:space="preserve"> </w:t>
      </w:r>
      <w:r w:rsidR="002B7DA3" w:rsidRPr="009A501D">
        <w:rPr>
          <w:rFonts w:ascii="Times New Roman" w:hAnsi="Times New Roman"/>
          <w:sz w:val="24"/>
          <w:szCs w:val="24"/>
        </w:rPr>
        <w:t xml:space="preserve">In this case, sourcing information dating back </w:t>
      </w:r>
      <w:r>
        <w:rPr>
          <w:rFonts w:ascii="Times New Roman" w:hAnsi="Times New Roman"/>
          <w:sz w:val="24"/>
          <w:szCs w:val="24"/>
        </w:rPr>
        <w:t>to</w:t>
      </w:r>
      <w:r w:rsidR="002B7DA3" w:rsidRPr="009A501D">
        <w:rPr>
          <w:rFonts w:ascii="Times New Roman" w:hAnsi="Times New Roman"/>
          <w:sz w:val="24"/>
          <w:szCs w:val="24"/>
        </w:rPr>
        <w:t xml:space="preserve"> 1998 would prove evitable as much of the documented research programs could offer a trend in closing the educational gap and inequality among indigenous Australians</w:t>
      </w:r>
      <w:r w:rsidR="009259EC" w:rsidRPr="009A501D">
        <w:rPr>
          <w:rFonts w:ascii="Times New Roman" w:hAnsi="Times New Roman"/>
          <w:sz w:val="24"/>
          <w:szCs w:val="24"/>
        </w:rPr>
        <w:t xml:space="preserve"> </w:t>
      </w:r>
      <w:r w:rsidR="009259EC" w:rsidRPr="00CD37E7">
        <w:rPr>
          <w:rFonts w:ascii="Times New Roman" w:hAnsi="Times New Roman"/>
          <w:sz w:val="24"/>
          <w:szCs w:val="24"/>
        </w:rPr>
        <w:t>(Altman, Hunter &amp; Biddle, 2018)</w:t>
      </w:r>
      <w:r w:rsidR="002B7DA3" w:rsidRPr="00CD37E7">
        <w:rPr>
          <w:rFonts w:ascii="Times New Roman" w:hAnsi="Times New Roman"/>
          <w:sz w:val="24"/>
          <w:szCs w:val="24"/>
        </w:rPr>
        <w:t>.</w:t>
      </w:r>
      <w:r w:rsidR="005631C4" w:rsidRPr="00CD37E7">
        <w:rPr>
          <w:rFonts w:ascii="Times New Roman" w:hAnsi="Times New Roman"/>
          <w:sz w:val="24"/>
          <w:szCs w:val="24"/>
        </w:rPr>
        <w:t xml:space="preserve"> </w:t>
      </w:r>
    </w:p>
    <w:p w14:paraId="02999FCB" w14:textId="77777777" w:rsidR="007D52D5" w:rsidRPr="009A501D" w:rsidRDefault="00FD7F8C" w:rsidP="00A80270">
      <w:pPr>
        <w:spacing w:line="480" w:lineRule="auto"/>
        <w:rPr>
          <w:rFonts w:ascii="Times New Roman" w:hAnsi="Times New Roman"/>
          <w:sz w:val="24"/>
          <w:szCs w:val="24"/>
        </w:rPr>
      </w:pPr>
      <w:r w:rsidRPr="009A501D">
        <w:rPr>
          <w:rFonts w:ascii="Times New Roman" w:hAnsi="Times New Roman"/>
          <w:sz w:val="24"/>
          <w:szCs w:val="24"/>
        </w:rPr>
        <w:t xml:space="preserve">An ethnographic approach takes on the current observation and fortifies it to fit the underlying environment among </w:t>
      </w:r>
      <w:r w:rsidR="00F94D0E" w:rsidRPr="009A501D">
        <w:rPr>
          <w:rFonts w:ascii="Times New Roman" w:hAnsi="Times New Roman"/>
          <w:sz w:val="24"/>
          <w:szCs w:val="24"/>
        </w:rPr>
        <w:t>Indigenous</w:t>
      </w:r>
      <w:r w:rsidRPr="009A501D">
        <w:rPr>
          <w:rFonts w:ascii="Times New Roman" w:hAnsi="Times New Roman"/>
          <w:sz w:val="24"/>
          <w:szCs w:val="24"/>
        </w:rPr>
        <w:t xml:space="preserve"> Australians.</w:t>
      </w:r>
      <w:r w:rsidR="00E05874" w:rsidRPr="009A501D">
        <w:rPr>
          <w:rFonts w:ascii="Times New Roman" w:hAnsi="Times New Roman"/>
          <w:sz w:val="24"/>
          <w:szCs w:val="24"/>
        </w:rPr>
        <w:t xml:space="preserve"> </w:t>
      </w:r>
      <w:r w:rsidR="00AA353A">
        <w:rPr>
          <w:rFonts w:ascii="Times New Roman" w:hAnsi="Times New Roman"/>
          <w:sz w:val="24"/>
          <w:szCs w:val="24"/>
        </w:rPr>
        <w:t>The fact that</w:t>
      </w:r>
      <w:r w:rsidR="00664EB0" w:rsidRPr="009A501D">
        <w:rPr>
          <w:rFonts w:ascii="Times New Roman" w:hAnsi="Times New Roman"/>
          <w:sz w:val="24"/>
          <w:szCs w:val="24"/>
        </w:rPr>
        <w:t xml:space="preserve"> it recognizes the current </w:t>
      </w:r>
      <w:r w:rsidR="00F94D0E" w:rsidRPr="009A501D">
        <w:rPr>
          <w:rFonts w:ascii="Times New Roman" w:hAnsi="Times New Roman"/>
          <w:sz w:val="24"/>
          <w:szCs w:val="24"/>
        </w:rPr>
        <w:t>environment</w:t>
      </w:r>
      <w:r w:rsidR="00664EB0" w:rsidRPr="009A501D">
        <w:rPr>
          <w:rFonts w:ascii="Times New Roman" w:hAnsi="Times New Roman"/>
          <w:sz w:val="24"/>
          <w:szCs w:val="24"/>
        </w:rPr>
        <w:t>, socio</w:t>
      </w:r>
      <w:r w:rsidR="004E1E62">
        <w:rPr>
          <w:rFonts w:ascii="Times New Roman" w:hAnsi="Times New Roman"/>
          <w:sz w:val="24"/>
          <w:szCs w:val="24"/>
        </w:rPr>
        <w:t>-</w:t>
      </w:r>
      <w:r w:rsidR="00664EB0" w:rsidRPr="009A501D">
        <w:rPr>
          <w:rFonts w:ascii="Times New Roman" w:hAnsi="Times New Roman"/>
          <w:sz w:val="24"/>
          <w:szCs w:val="24"/>
        </w:rPr>
        <w:t>economic stature, and culture, the research design becomes speculative to render the desired results.</w:t>
      </w:r>
      <w:r w:rsidR="003D3A2F" w:rsidRPr="009A501D">
        <w:rPr>
          <w:rFonts w:ascii="Times New Roman" w:hAnsi="Times New Roman"/>
          <w:sz w:val="24"/>
          <w:szCs w:val="24"/>
        </w:rPr>
        <w:t xml:space="preserve"> An in-depth evaluation of regions, cities, and urban centers where </w:t>
      </w:r>
      <w:r w:rsidR="003D3A2F" w:rsidRPr="009A501D">
        <w:rPr>
          <w:rFonts w:ascii="Times New Roman" w:hAnsi="Times New Roman"/>
          <w:sz w:val="24"/>
          <w:szCs w:val="24"/>
        </w:rPr>
        <w:lastRenderedPageBreak/>
        <w:t xml:space="preserve">indigenous people reside, will determine the associated geographical </w:t>
      </w:r>
      <w:r w:rsidR="009B7DD8" w:rsidRPr="009A501D">
        <w:rPr>
          <w:rFonts w:ascii="Times New Roman" w:hAnsi="Times New Roman"/>
          <w:sz w:val="24"/>
          <w:szCs w:val="24"/>
        </w:rPr>
        <w:t>constraints</w:t>
      </w:r>
      <w:r w:rsidR="003D3A2F" w:rsidRPr="009A501D">
        <w:rPr>
          <w:rFonts w:ascii="Times New Roman" w:hAnsi="Times New Roman"/>
          <w:sz w:val="24"/>
          <w:szCs w:val="24"/>
        </w:rPr>
        <w:t xml:space="preserve"> in acquiring data from families, the community</w:t>
      </w:r>
      <w:r w:rsidR="00AA353A">
        <w:rPr>
          <w:rFonts w:ascii="Times New Roman" w:hAnsi="Times New Roman"/>
          <w:sz w:val="24"/>
          <w:szCs w:val="24"/>
        </w:rPr>
        <w:t>,</w:t>
      </w:r>
      <w:r w:rsidR="003D3A2F" w:rsidRPr="009A501D">
        <w:rPr>
          <w:rFonts w:ascii="Times New Roman" w:hAnsi="Times New Roman"/>
          <w:sz w:val="24"/>
          <w:szCs w:val="24"/>
        </w:rPr>
        <w:t xml:space="preserve"> and a large area </w:t>
      </w:r>
      <w:r w:rsidR="009B7DD8" w:rsidRPr="009A501D">
        <w:rPr>
          <w:rFonts w:ascii="Times New Roman" w:hAnsi="Times New Roman"/>
          <w:sz w:val="24"/>
          <w:szCs w:val="24"/>
        </w:rPr>
        <w:t>compared</w:t>
      </w:r>
      <w:r w:rsidR="003D3A2F" w:rsidRPr="009A501D">
        <w:rPr>
          <w:rFonts w:ascii="Times New Roman" w:hAnsi="Times New Roman"/>
          <w:sz w:val="24"/>
          <w:szCs w:val="24"/>
        </w:rPr>
        <w:t xml:space="preserve"> to a sampled area.</w:t>
      </w:r>
      <w:r w:rsidR="009B7DD8" w:rsidRPr="009A501D">
        <w:rPr>
          <w:rFonts w:ascii="Times New Roman" w:hAnsi="Times New Roman"/>
          <w:sz w:val="24"/>
          <w:szCs w:val="24"/>
        </w:rPr>
        <w:t xml:space="preserve"> </w:t>
      </w:r>
      <w:r w:rsidR="00A13748" w:rsidRPr="009A501D">
        <w:rPr>
          <w:rFonts w:ascii="Times New Roman" w:hAnsi="Times New Roman"/>
          <w:sz w:val="24"/>
          <w:szCs w:val="24"/>
        </w:rPr>
        <w:t xml:space="preserve">Through </w:t>
      </w:r>
      <w:r w:rsidR="00AA353A">
        <w:rPr>
          <w:rFonts w:ascii="Times New Roman" w:hAnsi="Times New Roman"/>
          <w:sz w:val="24"/>
          <w:szCs w:val="24"/>
        </w:rPr>
        <w:t xml:space="preserve">the </w:t>
      </w:r>
      <w:r w:rsidR="00A13748" w:rsidRPr="009A501D">
        <w:rPr>
          <w:rFonts w:ascii="Times New Roman" w:hAnsi="Times New Roman"/>
          <w:sz w:val="24"/>
          <w:szCs w:val="24"/>
        </w:rPr>
        <w:t xml:space="preserve">ethnographic method, the research question is able to understand the </w:t>
      </w:r>
      <w:r w:rsidR="00FB4303" w:rsidRPr="009A501D">
        <w:rPr>
          <w:rFonts w:ascii="Times New Roman" w:hAnsi="Times New Roman"/>
          <w:sz w:val="24"/>
          <w:szCs w:val="24"/>
        </w:rPr>
        <w:t>challenges</w:t>
      </w:r>
      <w:r w:rsidR="00A13748" w:rsidRPr="009A501D">
        <w:rPr>
          <w:rFonts w:ascii="Times New Roman" w:hAnsi="Times New Roman"/>
          <w:sz w:val="24"/>
          <w:szCs w:val="24"/>
        </w:rPr>
        <w:t>, cultural prejudice, motivation</w:t>
      </w:r>
      <w:r w:rsidR="00AA353A">
        <w:rPr>
          <w:rFonts w:ascii="Times New Roman" w:hAnsi="Times New Roman"/>
          <w:sz w:val="24"/>
          <w:szCs w:val="24"/>
        </w:rPr>
        <w:t>,</w:t>
      </w:r>
      <w:r w:rsidR="00A13748" w:rsidRPr="009A501D">
        <w:rPr>
          <w:rFonts w:ascii="Times New Roman" w:hAnsi="Times New Roman"/>
          <w:sz w:val="24"/>
          <w:szCs w:val="24"/>
        </w:rPr>
        <w:t xml:space="preserve"> and settings </w:t>
      </w:r>
      <w:r w:rsidR="00B7050D" w:rsidRPr="009A501D">
        <w:rPr>
          <w:rFonts w:ascii="Times New Roman" w:hAnsi="Times New Roman"/>
          <w:sz w:val="24"/>
          <w:szCs w:val="24"/>
        </w:rPr>
        <w:t>that occur</w:t>
      </w:r>
      <w:r w:rsidR="00A13748" w:rsidRPr="009A501D">
        <w:rPr>
          <w:rFonts w:ascii="Times New Roman" w:hAnsi="Times New Roman"/>
          <w:sz w:val="24"/>
          <w:szCs w:val="24"/>
        </w:rPr>
        <w:t xml:space="preserve"> to provide the necessitated outcome in first-hand </w:t>
      </w:r>
      <w:r w:rsidR="009E0631" w:rsidRPr="009A501D">
        <w:rPr>
          <w:rFonts w:ascii="Times New Roman" w:hAnsi="Times New Roman"/>
          <w:sz w:val="24"/>
          <w:szCs w:val="24"/>
        </w:rPr>
        <w:t>information</w:t>
      </w:r>
      <w:r w:rsidR="003C4AB4" w:rsidRPr="009A501D">
        <w:rPr>
          <w:rFonts w:ascii="Times New Roman" w:hAnsi="Times New Roman"/>
          <w:sz w:val="24"/>
          <w:szCs w:val="24"/>
        </w:rPr>
        <w:t xml:space="preserve"> (Rudolph, 2011)</w:t>
      </w:r>
      <w:r w:rsidR="009E0631" w:rsidRPr="009A501D">
        <w:rPr>
          <w:rFonts w:ascii="Times New Roman" w:hAnsi="Times New Roman"/>
          <w:sz w:val="24"/>
          <w:szCs w:val="24"/>
        </w:rPr>
        <w:t>.</w:t>
      </w:r>
      <w:r w:rsidR="000E193F" w:rsidRPr="009A501D">
        <w:rPr>
          <w:rFonts w:ascii="Times New Roman" w:hAnsi="Times New Roman"/>
          <w:sz w:val="24"/>
          <w:szCs w:val="24"/>
        </w:rPr>
        <w:t xml:space="preserve"> </w:t>
      </w:r>
      <w:r w:rsidR="001C76C0" w:rsidRPr="009A501D">
        <w:rPr>
          <w:rFonts w:ascii="Times New Roman" w:hAnsi="Times New Roman"/>
          <w:sz w:val="24"/>
          <w:szCs w:val="24"/>
        </w:rPr>
        <w:t>The diverse situation projected by not only interviews or discussion</w:t>
      </w:r>
      <w:r w:rsidR="00AA353A">
        <w:rPr>
          <w:rFonts w:ascii="Times New Roman" w:hAnsi="Times New Roman"/>
          <w:sz w:val="24"/>
          <w:szCs w:val="24"/>
        </w:rPr>
        <w:t>s</w:t>
      </w:r>
      <w:r w:rsidR="001C76C0" w:rsidRPr="009A501D">
        <w:rPr>
          <w:rFonts w:ascii="Times New Roman" w:hAnsi="Times New Roman"/>
          <w:sz w:val="24"/>
          <w:szCs w:val="24"/>
        </w:rPr>
        <w:t xml:space="preserve"> on the nature of Indigenous inequality in education can be observed, documented</w:t>
      </w:r>
      <w:r w:rsidR="00AA353A">
        <w:rPr>
          <w:rFonts w:ascii="Times New Roman" w:hAnsi="Times New Roman"/>
          <w:sz w:val="24"/>
          <w:szCs w:val="24"/>
        </w:rPr>
        <w:t>,</w:t>
      </w:r>
      <w:r w:rsidR="001C76C0" w:rsidRPr="009A501D">
        <w:rPr>
          <w:rFonts w:ascii="Times New Roman" w:hAnsi="Times New Roman"/>
          <w:sz w:val="24"/>
          <w:szCs w:val="24"/>
        </w:rPr>
        <w:t xml:space="preserve"> and linked to the </w:t>
      </w:r>
      <w:r w:rsidR="005C02F9" w:rsidRPr="009A501D">
        <w:rPr>
          <w:rFonts w:ascii="Times New Roman" w:hAnsi="Times New Roman"/>
          <w:sz w:val="24"/>
          <w:szCs w:val="24"/>
        </w:rPr>
        <w:t>desirable</w:t>
      </w:r>
      <w:r w:rsidR="001C76C0" w:rsidRPr="009A501D">
        <w:rPr>
          <w:rFonts w:ascii="Times New Roman" w:hAnsi="Times New Roman"/>
          <w:sz w:val="24"/>
          <w:szCs w:val="24"/>
        </w:rPr>
        <w:t xml:space="preserve"> attempts that were earlier made. </w:t>
      </w:r>
      <w:r w:rsidR="00DA2EB5" w:rsidRPr="009A501D">
        <w:rPr>
          <w:rFonts w:ascii="Times New Roman" w:hAnsi="Times New Roman"/>
          <w:sz w:val="24"/>
          <w:szCs w:val="24"/>
        </w:rPr>
        <w:t xml:space="preserve">With the general target, </w:t>
      </w:r>
      <w:r w:rsidR="00AA353A">
        <w:rPr>
          <w:rFonts w:ascii="Times New Roman" w:hAnsi="Times New Roman"/>
          <w:sz w:val="24"/>
          <w:szCs w:val="24"/>
        </w:rPr>
        <w:t xml:space="preserve">the </w:t>
      </w:r>
      <w:r w:rsidR="00DA2EB5" w:rsidRPr="009A501D">
        <w:rPr>
          <w:rFonts w:ascii="Times New Roman" w:hAnsi="Times New Roman"/>
          <w:sz w:val="24"/>
          <w:szCs w:val="24"/>
        </w:rPr>
        <w:t>ethnographic method tends to be passive and thus prompt</w:t>
      </w:r>
      <w:r w:rsidR="00AA353A">
        <w:rPr>
          <w:rFonts w:ascii="Times New Roman" w:hAnsi="Times New Roman"/>
          <w:sz w:val="24"/>
          <w:szCs w:val="24"/>
        </w:rPr>
        <w:t>s</w:t>
      </w:r>
      <w:r w:rsidR="00DA2EB5" w:rsidRPr="009A501D">
        <w:rPr>
          <w:rFonts w:ascii="Times New Roman" w:hAnsi="Times New Roman"/>
          <w:sz w:val="24"/>
          <w:szCs w:val="24"/>
        </w:rPr>
        <w:t xml:space="preserve"> regular keen observatory inferences through recording, taking pictures</w:t>
      </w:r>
      <w:r w:rsidR="00E02E2A" w:rsidRPr="009A501D">
        <w:rPr>
          <w:rFonts w:ascii="Times New Roman" w:hAnsi="Times New Roman"/>
          <w:sz w:val="24"/>
          <w:szCs w:val="24"/>
        </w:rPr>
        <w:t>, and drawing conclusions based on the acquired knowledge.</w:t>
      </w:r>
      <w:r w:rsidR="001F348B" w:rsidRPr="009A501D">
        <w:rPr>
          <w:rFonts w:ascii="Times New Roman" w:hAnsi="Times New Roman"/>
          <w:sz w:val="24"/>
          <w:szCs w:val="24"/>
        </w:rPr>
        <w:t xml:space="preserve"> </w:t>
      </w:r>
      <w:r w:rsidR="007D52D5" w:rsidRPr="009A501D">
        <w:rPr>
          <w:rFonts w:ascii="Times New Roman" w:hAnsi="Times New Roman"/>
          <w:sz w:val="24"/>
          <w:szCs w:val="24"/>
        </w:rPr>
        <w:t>Ethnograph</w:t>
      </w:r>
      <w:r w:rsidR="00AA353A">
        <w:rPr>
          <w:rFonts w:ascii="Times New Roman" w:hAnsi="Times New Roman"/>
          <w:sz w:val="24"/>
          <w:szCs w:val="24"/>
        </w:rPr>
        <w:t>y</w:t>
      </w:r>
      <w:r w:rsidR="00386362" w:rsidRPr="009A501D">
        <w:rPr>
          <w:rFonts w:ascii="Times New Roman" w:hAnsi="Times New Roman"/>
          <w:sz w:val="24"/>
          <w:szCs w:val="24"/>
        </w:rPr>
        <w:t xml:space="preserve"> considers time as a </w:t>
      </w:r>
      <w:r w:rsidR="007D52D5" w:rsidRPr="009A501D">
        <w:rPr>
          <w:rFonts w:ascii="Times New Roman" w:hAnsi="Times New Roman"/>
          <w:sz w:val="24"/>
          <w:szCs w:val="24"/>
        </w:rPr>
        <w:t>variable</w:t>
      </w:r>
      <w:r w:rsidR="00386362" w:rsidRPr="009A501D">
        <w:rPr>
          <w:rFonts w:ascii="Times New Roman" w:hAnsi="Times New Roman"/>
          <w:sz w:val="24"/>
          <w:szCs w:val="24"/>
        </w:rPr>
        <w:t xml:space="preserve"> to </w:t>
      </w:r>
      <w:r w:rsidR="00D75D67" w:rsidRPr="009A501D">
        <w:rPr>
          <w:rFonts w:ascii="Times New Roman" w:hAnsi="Times New Roman"/>
          <w:sz w:val="24"/>
          <w:szCs w:val="24"/>
        </w:rPr>
        <w:t xml:space="preserve">observe and dictate the noted state of indigenous peoples’ lifestyle and way of life as the </w:t>
      </w:r>
      <w:r w:rsidR="007D52D5" w:rsidRPr="009A501D">
        <w:rPr>
          <w:rFonts w:ascii="Times New Roman" w:hAnsi="Times New Roman"/>
          <w:sz w:val="24"/>
          <w:szCs w:val="24"/>
        </w:rPr>
        <w:t>dimmable</w:t>
      </w:r>
      <w:r w:rsidR="00D75D67" w:rsidRPr="009A501D">
        <w:rPr>
          <w:rFonts w:ascii="Times New Roman" w:hAnsi="Times New Roman"/>
          <w:sz w:val="24"/>
          <w:szCs w:val="24"/>
        </w:rPr>
        <w:t xml:space="preserve"> state to prompt inevitable change within the educational system</w:t>
      </w:r>
      <w:r w:rsidR="000A2A90" w:rsidRPr="009A501D">
        <w:rPr>
          <w:rFonts w:ascii="Times New Roman" w:hAnsi="Times New Roman"/>
          <w:sz w:val="24"/>
          <w:szCs w:val="24"/>
        </w:rPr>
        <w:t xml:space="preserve"> (Leigh &amp; Gong, 2009)</w:t>
      </w:r>
      <w:r w:rsidR="00D75D67" w:rsidRPr="009A501D">
        <w:rPr>
          <w:rFonts w:ascii="Times New Roman" w:hAnsi="Times New Roman"/>
          <w:sz w:val="24"/>
          <w:szCs w:val="24"/>
        </w:rPr>
        <w:t>.</w:t>
      </w:r>
      <w:r w:rsidR="00DA2EB5" w:rsidRPr="009A501D">
        <w:rPr>
          <w:rFonts w:ascii="Times New Roman" w:hAnsi="Times New Roman"/>
          <w:sz w:val="24"/>
          <w:szCs w:val="24"/>
        </w:rPr>
        <w:t xml:space="preserve"> </w:t>
      </w:r>
    </w:p>
    <w:p w14:paraId="5A93CF1D" w14:textId="6C1FFFDD" w:rsidR="002B7DA3" w:rsidRDefault="004E1E62" w:rsidP="00A80270">
      <w:pPr>
        <w:spacing w:line="480" w:lineRule="auto"/>
        <w:rPr>
          <w:rFonts w:ascii="Times New Roman" w:hAnsi="Times New Roman"/>
          <w:sz w:val="24"/>
          <w:szCs w:val="24"/>
        </w:rPr>
      </w:pPr>
      <w:r>
        <w:rPr>
          <w:rFonts w:ascii="Times New Roman" w:hAnsi="Times New Roman"/>
          <w:sz w:val="24"/>
          <w:szCs w:val="24"/>
        </w:rPr>
        <w:t>The o</w:t>
      </w:r>
      <w:r w:rsidR="00C20387" w:rsidRPr="009A501D">
        <w:rPr>
          <w:rFonts w:ascii="Times New Roman" w:hAnsi="Times New Roman"/>
          <w:sz w:val="24"/>
          <w:szCs w:val="24"/>
        </w:rPr>
        <w:t xml:space="preserve">ne-on-one interview sets the context to understand </w:t>
      </w:r>
      <w:r w:rsidR="00AA353A">
        <w:rPr>
          <w:rFonts w:ascii="Times New Roman" w:hAnsi="Times New Roman"/>
          <w:sz w:val="24"/>
          <w:szCs w:val="24"/>
        </w:rPr>
        <w:t xml:space="preserve">the </w:t>
      </w:r>
      <w:r w:rsidR="00C20387" w:rsidRPr="009A501D">
        <w:rPr>
          <w:rFonts w:ascii="Times New Roman" w:hAnsi="Times New Roman"/>
          <w:sz w:val="24"/>
          <w:szCs w:val="24"/>
        </w:rPr>
        <w:t xml:space="preserve">personal </w:t>
      </w:r>
      <w:r w:rsidR="00951DA7" w:rsidRPr="009A501D">
        <w:rPr>
          <w:rFonts w:ascii="Times New Roman" w:hAnsi="Times New Roman"/>
          <w:sz w:val="24"/>
          <w:szCs w:val="24"/>
        </w:rPr>
        <w:t>position</w:t>
      </w:r>
      <w:r w:rsidR="00C20387" w:rsidRPr="009A501D">
        <w:rPr>
          <w:rFonts w:ascii="Times New Roman" w:hAnsi="Times New Roman"/>
          <w:sz w:val="24"/>
          <w:szCs w:val="24"/>
        </w:rPr>
        <w:t xml:space="preserve"> on </w:t>
      </w:r>
      <w:r w:rsidR="00AA353A">
        <w:rPr>
          <w:rFonts w:ascii="Times New Roman" w:hAnsi="Times New Roman"/>
          <w:sz w:val="24"/>
          <w:szCs w:val="24"/>
        </w:rPr>
        <w:t>education inequality</w:t>
      </w:r>
      <w:r w:rsidR="00C20387" w:rsidRPr="009A501D">
        <w:rPr>
          <w:rFonts w:ascii="Times New Roman" w:hAnsi="Times New Roman"/>
          <w:sz w:val="24"/>
          <w:szCs w:val="24"/>
        </w:rPr>
        <w:t xml:space="preserve"> among the indigenous people.</w:t>
      </w:r>
      <w:r w:rsidR="006468A4" w:rsidRPr="009A501D">
        <w:rPr>
          <w:rFonts w:ascii="Times New Roman" w:hAnsi="Times New Roman"/>
          <w:sz w:val="24"/>
          <w:szCs w:val="24"/>
        </w:rPr>
        <w:t xml:space="preserve"> </w:t>
      </w:r>
      <w:r w:rsidR="00682760" w:rsidRPr="009A501D">
        <w:rPr>
          <w:rFonts w:ascii="Times New Roman" w:hAnsi="Times New Roman"/>
          <w:sz w:val="24"/>
          <w:szCs w:val="24"/>
        </w:rPr>
        <w:t xml:space="preserve">The interview will be conversational as it invites </w:t>
      </w:r>
      <w:r w:rsidR="00967335" w:rsidRPr="009A501D">
        <w:rPr>
          <w:rFonts w:ascii="Times New Roman" w:hAnsi="Times New Roman"/>
          <w:sz w:val="24"/>
          <w:szCs w:val="24"/>
        </w:rPr>
        <w:t>opportunities</w:t>
      </w:r>
      <w:r w:rsidR="00682760" w:rsidRPr="009A501D">
        <w:rPr>
          <w:rFonts w:ascii="Times New Roman" w:hAnsi="Times New Roman"/>
          <w:sz w:val="24"/>
          <w:szCs w:val="24"/>
        </w:rPr>
        <w:t xml:space="preserve"> for interviewers to acquire in</w:t>
      </w:r>
      <w:r w:rsidR="00AA353A">
        <w:rPr>
          <w:rFonts w:ascii="Times New Roman" w:hAnsi="Times New Roman"/>
          <w:sz w:val="24"/>
          <w:szCs w:val="24"/>
        </w:rPr>
        <w:t>-</w:t>
      </w:r>
      <w:r w:rsidR="00682760" w:rsidRPr="009A501D">
        <w:rPr>
          <w:rFonts w:ascii="Times New Roman" w:hAnsi="Times New Roman"/>
          <w:sz w:val="24"/>
          <w:szCs w:val="24"/>
        </w:rPr>
        <w:t xml:space="preserve">depth details, which are </w:t>
      </w:r>
      <w:r w:rsidR="00734572" w:rsidRPr="009A501D">
        <w:rPr>
          <w:rFonts w:ascii="Times New Roman" w:hAnsi="Times New Roman"/>
          <w:sz w:val="24"/>
          <w:szCs w:val="24"/>
        </w:rPr>
        <w:t>considered</w:t>
      </w:r>
      <w:r w:rsidR="00682760" w:rsidRPr="009A501D">
        <w:rPr>
          <w:rFonts w:ascii="Times New Roman" w:hAnsi="Times New Roman"/>
          <w:sz w:val="24"/>
          <w:szCs w:val="24"/>
        </w:rPr>
        <w:t xml:space="preserve"> honest </w:t>
      </w:r>
      <w:r w:rsidR="00AA353A">
        <w:rPr>
          <w:rFonts w:ascii="Times New Roman" w:hAnsi="Times New Roman"/>
          <w:sz w:val="24"/>
          <w:szCs w:val="24"/>
        </w:rPr>
        <w:t>by</w:t>
      </w:r>
      <w:r w:rsidR="00682760" w:rsidRPr="009A501D">
        <w:rPr>
          <w:rFonts w:ascii="Times New Roman" w:hAnsi="Times New Roman"/>
          <w:sz w:val="24"/>
          <w:szCs w:val="24"/>
        </w:rPr>
        <w:t xml:space="preserve"> the respondent. </w:t>
      </w:r>
      <w:r w:rsidR="00A5483F" w:rsidRPr="009A501D">
        <w:rPr>
          <w:rFonts w:ascii="Times New Roman" w:hAnsi="Times New Roman"/>
          <w:sz w:val="24"/>
          <w:szCs w:val="24"/>
        </w:rPr>
        <w:t xml:space="preserve">The interactive nature of this method allows the collection of precise data about people’s beliefs and </w:t>
      </w:r>
      <w:r w:rsidR="004B6865" w:rsidRPr="009A501D">
        <w:rPr>
          <w:rFonts w:ascii="Times New Roman" w:hAnsi="Times New Roman"/>
          <w:sz w:val="24"/>
          <w:szCs w:val="24"/>
        </w:rPr>
        <w:t>associated</w:t>
      </w:r>
      <w:r w:rsidR="00A5483F" w:rsidRPr="009A501D">
        <w:rPr>
          <w:rFonts w:ascii="Times New Roman" w:hAnsi="Times New Roman"/>
          <w:sz w:val="24"/>
          <w:szCs w:val="24"/>
        </w:rPr>
        <w:t xml:space="preserve"> motivations.</w:t>
      </w:r>
      <w:r w:rsidR="004B6865" w:rsidRPr="009A501D">
        <w:rPr>
          <w:rFonts w:ascii="Times New Roman" w:hAnsi="Times New Roman"/>
          <w:sz w:val="24"/>
          <w:szCs w:val="24"/>
        </w:rPr>
        <w:t xml:space="preserve"> </w:t>
      </w:r>
      <w:r w:rsidR="00CF2B42" w:rsidRPr="009A501D">
        <w:rPr>
          <w:rFonts w:ascii="Times New Roman" w:hAnsi="Times New Roman"/>
          <w:sz w:val="24"/>
          <w:szCs w:val="24"/>
        </w:rPr>
        <w:t xml:space="preserve">Interviews align with </w:t>
      </w:r>
      <w:r w:rsidR="00AA353A">
        <w:rPr>
          <w:rFonts w:ascii="Times New Roman" w:hAnsi="Times New Roman"/>
          <w:sz w:val="24"/>
          <w:szCs w:val="24"/>
        </w:rPr>
        <w:t>the aid of the right questions</w:t>
      </w:r>
      <w:r w:rsidR="00CF2B42" w:rsidRPr="009A501D">
        <w:rPr>
          <w:rFonts w:ascii="Times New Roman" w:hAnsi="Times New Roman"/>
          <w:sz w:val="24"/>
          <w:szCs w:val="24"/>
        </w:rPr>
        <w:t xml:space="preserve"> in the collection of meaningful data, as it prompts voluntary </w:t>
      </w:r>
      <w:r w:rsidR="00CB4B99" w:rsidRPr="009A501D">
        <w:rPr>
          <w:rFonts w:ascii="Times New Roman" w:hAnsi="Times New Roman"/>
          <w:sz w:val="24"/>
          <w:szCs w:val="24"/>
        </w:rPr>
        <w:t>follow</w:t>
      </w:r>
      <w:r w:rsidR="00AA353A">
        <w:rPr>
          <w:rFonts w:ascii="Times New Roman" w:hAnsi="Times New Roman"/>
          <w:sz w:val="24"/>
          <w:szCs w:val="24"/>
        </w:rPr>
        <w:t>-</w:t>
      </w:r>
      <w:r w:rsidR="00CB4B99" w:rsidRPr="009A501D">
        <w:rPr>
          <w:rFonts w:ascii="Times New Roman" w:hAnsi="Times New Roman"/>
          <w:sz w:val="24"/>
          <w:szCs w:val="24"/>
        </w:rPr>
        <w:t>up questions that ascertain the collection of more information.</w:t>
      </w:r>
      <w:r w:rsidR="00F72053" w:rsidRPr="009A501D">
        <w:rPr>
          <w:rFonts w:ascii="Times New Roman" w:hAnsi="Times New Roman"/>
          <w:sz w:val="24"/>
          <w:szCs w:val="24"/>
        </w:rPr>
        <w:t xml:space="preserve"> </w:t>
      </w:r>
      <w:r w:rsidR="00F53DC5" w:rsidRPr="009A501D">
        <w:rPr>
          <w:rFonts w:ascii="Times New Roman" w:hAnsi="Times New Roman"/>
          <w:sz w:val="24"/>
          <w:szCs w:val="24"/>
        </w:rPr>
        <w:t xml:space="preserve">The research </w:t>
      </w:r>
      <w:r w:rsidR="00AA353A">
        <w:rPr>
          <w:rFonts w:ascii="Times New Roman" w:hAnsi="Times New Roman"/>
          <w:sz w:val="24"/>
          <w:szCs w:val="24"/>
        </w:rPr>
        <w:t>encourage</w:t>
      </w:r>
      <w:r w:rsidR="00F53DC5" w:rsidRPr="009A501D">
        <w:rPr>
          <w:rFonts w:ascii="Times New Roman" w:hAnsi="Times New Roman"/>
          <w:sz w:val="24"/>
          <w:szCs w:val="24"/>
        </w:rPr>
        <w:t xml:space="preserve">s either </w:t>
      </w:r>
      <w:r w:rsidR="00063C5D" w:rsidRPr="009A501D">
        <w:rPr>
          <w:rFonts w:ascii="Times New Roman" w:hAnsi="Times New Roman"/>
          <w:sz w:val="24"/>
          <w:szCs w:val="24"/>
        </w:rPr>
        <w:t>performing</w:t>
      </w:r>
      <w:r w:rsidR="00F53DC5" w:rsidRPr="009A501D">
        <w:rPr>
          <w:rFonts w:ascii="Times New Roman" w:hAnsi="Times New Roman"/>
          <w:sz w:val="24"/>
          <w:szCs w:val="24"/>
        </w:rPr>
        <w:t xml:space="preserve"> an on</w:t>
      </w:r>
      <w:r w:rsidR="00AA353A">
        <w:rPr>
          <w:rFonts w:ascii="Times New Roman" w:hAnsi="Times New Roman"/>
          <w:sz w:val="24"/>
          <w:szCs w:val="24"/>
        </w:rPr>
        <w:t>-</w:t>
      </w:r>
      <w:r w:rsidR="00F53DC5" w:rsidRPr="009A501D">
        <w:rPr>
          <w:rFonts w:ascii="Times New Roman" w:hAnsi="Times New Roman"/>
          <w:sz w:val="24"/>
          <w:szCs w:val="24"/>
        </w:rPr>
        <w:t xml:space="preserve">phone or face-to-face interaction. </w:t>
      </w:r>
      <w:r w:rsidR="00025E00" w:rsidRPr="009A501D">
        <w:rPr>
          <w:rFonts w:ascii="Times New Roman" w:hAnsi="Times New Roman"/>
          <w:sz w:val="24"/>
          <w:szCs w:val="24"/>
        </w:rPr>
        <w:t xml:space="preserve">However, the desirable outcome and genuine projection of responses </w:t>
      </w:r>
      <w:r w:rsidR="00AA353A">
        <w:rPr>
          <w:rFonts w:ascii="Times New Roman" w:hAnsi="Times New Roman"/>
          <w:sz w:val="24"/>
          <w:szCs w:val="24"/>
        </w:rPr>
        <w:t>are</w:t>
      </w:r>
      <w:r w:rsidR="00025E00" w:rsidRPr="009A501D">
        <w:rPr>
          <w:rFonts w:ascii="Times New Roman" w:hAnsi="Times New Roman"/>
          <w:sz w:val="24"/>
          <w:szCs w:val="24"/>
        </w:rPr>
        <w:t xml:space="preserve"> ascertained by </w:t>
      </w:r>
      <w:r w:rsidR="00063C5D" w:rsidRPr="009A501D">
        <w:rPr>
          <w:rFonts w:ascii="Times New Roman" w:hAnsi="Times New Roman"/>
          <w:sz w:val="24"/>
          <w:szCs w:val="24"/>
        </w:rPr>
        <w:t>conducting</w:t>
      </w:r>
      <w:r w:rsidR="00025E00" w:rsidRPr="009A501D">
        <w:rPr>
          <w:rFonts w:ascii="Times New Roman" w:hAnsi="Times New Roman"/>
          <w:sz w:val="24"/>
          <w:szCs w:val="24"/>
        </w:rPr>
        <w:t xml:space="preserve"> a face-to-face interview, as the researcher can observe </w:t>
      </w:r>
      <w:r w:rsidR="00063C5D" w:rsidRPr="009A501D">
        <w:rPr>
          <w:rFonts w:ascii="Times New Roman" w:hAnsi="Times New Roman"/>
          <w:sz w:val="24"/>
          <w:szCs w:val="24"/>
        </w:rPr>
        <w:t>respondents’</w:t>
      </w:r>
      <w:r w:rsidR="00025E00" w:rsidRPr="009A501D">
        <w:rPr>
          <w:rFonts w:ascii="Times New Roman" w:hAnsi="Times New Roman"/>
          <w:sz w:val="24"/>
          <w:szCs w:val="24"/>
        </w:rPr>
        <w:t xml:space="preserve"> reaction</w:t>
      </w:r>
      <w:r w:rsidR="00AA353A">
        <w:rPr>
          <w:rFonts w:ascii="Times New Roman" w:hAnsi="Times New Roman"/>
          <w:sz w:val="24"/>
          <w:szCs w:val="24"/>
        </w:rPr>
        <w:t>s</w:t>
      </w:r>
      <w:r w:rsidR="00025E00" w:rsidRPr="009A501D">
        <w:rPr>
          <w:rFonts w:ascii="Times New Roman" w:hAnsi="Times New Roman"/>
          <w:sz w:val="24"/>
          <w:szCs w:val="24"/>
        </w:rPr>
        <w:t xml:space="preserve"> and body language.</w:t>
      </w:r>
    </w:p>
    <w:p w14:paraId="096F95AC" w14:textId="77777777" w:rsidR="00901A8E" w:rsidRDefault="00901A8E" w:rsidP="00DA779F">
      <w:pPr>
        <w:spacing w:line="480" w:lineRule="auto"/>
        <w:ind w:firstLine="720"/>
        <w:rPr>
          <w:rFonts w:ascii="Times New Roman" w:hAnsi="Times New Roman"/>
          <w:b/>
          <w:bCs/>
          <w:sz w:val="24"/>
          <w:szCs w:val="24"/>
        </w:rPr>
      </w:pPr>
    </w:p>
    <w:p w14:paraId="331E5B62" w14:textId="77777777" w:rsidR="00FB17F5" w:rsidRDefault="00FB17F5" w:rsidP="00DA779F">
      <w:pPr>
        <w:spacing w:line="480" w:lineRule="auto"/>
        <w:ind w:firstLine="720"/>
        <w:rPr>
          <w:rFonts w:ascii="Times New Roman" w:hAnsi="Times New Roman"/>
          <w:b/>
          <w:bCs/>
          <w:sz w:val="24"/>
          <w:szCs w:val="24"/>
        </w:rPr>
      </w:pPr>
    </w:p>
    <w:p w14:paraId="22A7BE31" w14:textId="596FDA81" w:rsidR="00DA779F" w:rsidRPr="00DA779F" w:rsidRDefault="00DA779F" w:rsidP="00DA779F">
      <w:pPr>
        <w:spacing w:line="480" w:lineRule="auto"/>
        <w:ind w:firstLine="720"/>
        <w:rPr>
          <w:rFonts w:ascii="Times New Roman" w:hAnsi="Times New Roman"/>
          <w:b/>
          <w:bCs/>
          <w:sz w:val="24"/>
          <w:szCs w:val="24"/>
        </w:rPr>
      </w:pPr>
      <w:r w:rsidRPr="00DA779F">
        <w:rPr>
          <w:rFonts w:ascii="Times New Roman" w:hAnsi="Times New Roman"/>
          <w:b/>
          <w:bCs/>
          <w:sz w:val="24"/>
          <w:szCs w:val="24"/>
        </w:rPr>
        <w:lastRenderedPageBreak/>
        <w:t>Data Analysis</w:t>
      </w:r>
    </w:p>
    <w:p w14:paraId="737D775B" w14:textId="77777777" w:rsidR="00063C5D" w:rsidRPr="009A501D" w:rsidRDefault="00DD0BE7" w:rsidP="00A80270">
      <w:pPr>
        <w:spacing w:line="480" w:lineRule="auto"/>
        <w:rPr>
          <w:rFonts w:ascii="Times New Roman" w:hAnsi="Times New Roman"/>
          <w:sz w:val="24"/>
          <w:szCs w:val="24"/>
        </w:rPr>
      </w:pPr>
      <w:r w:rsidRPr="009A501D">
        <w:rPr>
          <w:rFonts w:ascii="Times New Roman" w:hAnsi="Times New Roman"/>
          <w:sz w:val="24"/>
          <w:szCs w:val="24"/>
        </w:rPr>
        <w:t xml:space="preserve">The above methods will lead to </w:t>
      </w:r>
      <w:r w:rsidR="00AA353A">
        <w:rPr>
          <w:rFonts w:ascii="Times New Roman" w:hAnsi="Times New Roman"/>
          <w:sz w:val="24"/>
          <w:szCs w:val="24"/>
        </w:rPr>
        <w:t>collecting</w:t>
      </w:r>
      <w:r w:rsidRPr="009A501D">
        <w:rPr>
          <w:rFonts w:ascii="Times New Roman" w:hAnsi="Times New Roman"/>
          <w:sz w:val="24"/>
          <w:szCs w:val="24"/>
        </w:rPr>
        <w:t xml:space="preserve"> large amounts of data which the study will make different record</w:t>
      </w:r>
      <w:r w:rsidR="00E4405E" w:rsidRPr="009A501D">
        <w:rPr>
          <w:rFonts w:ascii="Times New Roman" w:hAnsi="Times New Roman"/>
          <w:sz w:val="24"/>
          <w:szCs w:val="24"/>
        </w:rPr>
        <w:t>s</w:t>
      </w:r>
      <w:r w:rsidRPr="009A501D">
        <w:rPr>
          <w:rFonts w:ascii="Times New Roman" w:hAnsi="Times New Roman"/>
          <w:sz w:val="24"/>
          <w:szCs w:val="24"/>
        </w:rPr>
        <w:t>, tabling</w:t>
      </w:r>
      <w:r w:rsidR="00AA353A">
        <w:rPr>
          <w:rFonts w:ascii="Times New Roman" w:hAnsi="Times New Roman"/>
          <w:sz w:val="24"/>
          <w:szCs w:val="24"/>
        </w:rPr>
        <w:t>,</w:t>
      </w:r>
      <w:r w:rsidRPr="009A501D">
        <w:rPr>
          <w:rFonts w:ascii="Times New Roman" w:hAnsi="Times New Roman"/>
          <w:sz w:val="24"/>
          <w:szCs w:val="24"/>
        </w:rPr>
        <w:t xml:space="preserve"> and valuation. </w:t>
      </w:r>
      <w:r w:rsidR="00D13696" w:rsidRPr="009A501D">
        <w:rPr>
          <w:rFonts w:ascii="Times New Roman" w:hAnsi="Times New Roman"/>
          <w:sz w:val="24"/>
          <w:szCs w:val="24"/>
        </w:rPr>
        <w:t xml:space="preserve">Notes on </w:t>
      </w:r>
      <w:r w:rsidR="00BA2F80" w:rsidRPr="009A501D">
        <w:rPr>
          <w:rFonts w:ascii="Times New Roman" w:hAnsi="Times New Roman"/>
          <w:sz w:val="24"/>
          <w:szCs w:val="24"/>
        </w:rPr>
        <w:t>behaviors</w:t>
      </w:r>
      <w:r w:rsidR="00D13696" w:rsidRPr="009A501D">
        <w:rPr>
          <w:rFonts w:ascii="Times New Roman" w:hAnsi="Times New Roman"/>
          <w:sz w:val="24"/>
          <w:szCs w:val="24"/>
        </w:rPr>
        <w:t xml:space="preserve">, settings, a family’s socio-economic state, </w:t>
      </w:r>
      <w:r w:rsidR="00AA353A">
        <w:rPr>
          <w:rFonts w:ascii="Times New Roman" w:hAnsi="Times New Roman"/>
          <w:sz w:val="24"/>
          <w:szCs w:val="24"/>
        </w:rPr>
        <w:t xml:space="preserve">and </w:t>
      </w:r>
      <w:r w:rsidR="00D13696" w:rsidRPr="009A501D">
        <w:rPr>
          <w:rFonts w:ascii="Times New Roman" w:hAnsi="Times New Roman"/>
          <w:sz w:val="24"/>
          <w:szCs w:val="24"/>
        </w:rPr>
        <w:t xml:space="preserve">impressions will provide context to </w:t>
      </w:r>
      <w:r w:rsidR="00BA2F80" w:rsidRPr="009A501D">
        <w:rPr>
          <w:rFonts w:ascii="Times New Roman" w:hAnsi="Times New Roman"/>
          <w:sz w:val="24"/>
          <w:szCs w:val="24"/>
        </w:rPr>
        <w:t>interoperation</w:t>
      </w:r>
      <w:r w:rsidR="00D13696" w:rsidRPr="009A501D">
        <w:rPr>
          <w:rFonts w:ascii="Times New Roman" w:hAnsi="Times New Roman"/>
          <w:sz w:val="24"/>
          <w:szCs w:val="24"/>
        </w:rPr>
        <w:t>.</w:t>
      </w:r>
      <w:r w:rsidR="00045088" w:rsidRPr="009A501D">
        <w:rPr>
          <w:rFonts w:ascii="Times New Roman" w:hAnsi="Times New Roman"/>
          <w:sz w:val="24"/>
          <w:szCs w:val="24"/>
        </w:rPr>
        <w:t xml:space="preserve"> </w:t>
      </w:r>
      <w:r w:rsidR="00C82EB1" w:rsidRPr="009A501D">
        <w:rPr>
          <w:rFonts w:ascii="Times New Roman" w:hAnsi="Times New Roman"/>
          <w:sz w:val="24"/>
          <w:szCs w:val="24"/>
        </w:rPr>
        <w:t xml:space="preserve">With the results of qualitative research being </w:t>
      </w:r>
      <w:r w:rsidR="006060AE" w:rsidRPr="009A501D">
        <w:rPr>
          <w:rFonts w:ascii="Times New Roman" w:hAnsi="Times New Roman"/>
          <w:sz w:val="24"/>
          <w:szCs w:val="24"/>
        </w:rPr>
        <w:t>open</w:t>
      </w:r>
      <w:r w:rsidR="00C82EB1" w:rsidRPr="009A501D">
        <w:rPr>
          <w:rFonts w:ascii="Times New Roman" w:hAnsi="Times New Roman"/>
          <w:sz w:val="24"/>
          <w:szCs w:val="24"/>
        </w:rPr>
        <w:t>-ended</w:t>
      </w:r>
      <w:r w:rsidR="00AA353A">
        <w:rPr>
          <w:rFonts w:ascii="Times New Roman" w:hAnsi="Times New Roman"/>
          <w:sz w:val="24"/>
          <w:szCs w:val="24"/>
        </w:rPr>
        <w:t>,</w:t>
      </w:r>
      <w:r w:rsidR="00C82EB1" w:rsidRPr="009A501D">
        <w:rPr>
          <w:rFonts w:ascii="Times New Roman" w:hAnsi="Times New Roman"/>
          <w:sz w:val="24"/>
          <w:szCs w:val="24"/>
        </w:rPr>
        <w:t xml:space="preserve"> </w:t>
      </w:r>
      <w:r w:rsidR="00AA6708" w:rsidRPr="009A501D">
        <w:rPr>
          <w:rFonts w:ascii="Times New Roman" w:hAnsi="Times New Roman"/>
          <w:sz w:val="24"/>
          <w:szCs w:val="24"/>
        </w:rPr>
        <w:t xml:space="preserve">a much wider frame to </w:t>
      </w:r>
      <w:r w:rsidR="002B54DA" w:rsidRPr="009A501D">
        <w:rPr>
          <w:rFonts w:ascii="Times New Roman" w:hAnsi="Times New Roman"/>
          <w:sz w:val="24"/>
          <w:szCs w:val="24"/>
        </w:rPr>
        <w:t>interpret</w:t>
      </w:r>
      <w:r w:rsidR="00AA6708" w:rsidRPr="009A501D">
        <w:rPr>
          <w:rFonts w:ascii="Times New Roman" w:hAnsi="Times New Roman"/>
          <w:sz w:val="24"/>
          <w:szCs w:val="24"/>
        </w:rPr>
        <w:t xml:space="preserve"> the data will be more concerned with who, what</w:t>
      </w:r>
      <w:r w:rsidR="00AA353A">
        <w:rPr>
          <w:rFonts w:ascii="Times New Roman" w:hAnsi="Times New Roman"/>
          <w:sz w:val="24"/>
          <w:szCs w:val="24"/>
        </w:rPr>
        <w:t>,</w:t>
      </w:r>
      <w:r w:rsidR="00AA6708" w:rsidRPr="009A501D">
        <w:rPr>
          <w:rFonts w:ascii="Times New Roman" w:hAnsi="Times New Roman"/>
          <w:sz w:val="24"/>
          <w:szCs w:val="24"/>
        </w:rPr>
        <w:t xml:space="preserve"> and when to understand the motivations, </w:t>
      </w:r>
      <w:r w:rsidR="002B54DA" w:rsidRPr="009A501D">
        <w:rPr>
          <w:rFonts w:ascii="Times New Roman" w:hAnsi="Times New Roman"/>
          <w:sz w:val="24"/>
          <w:szCs w:val="24"/>
        </w:rPr>
        <w:t>behaviorism</w:t>
      </w:r>
      <w:r w:rsidR="00AA353A">
        <w:rPr>
          <w:rFonts w:ascii="Times New Roman" w:hAnsi="Times New Roman"/>
          <w:sz w:val="24"/>
          <w:szCs w:val="24"/>
        </w:rPr>
        <w:t>,</w:t>
      </w:r>
      <w:r w:rsidR="003D4A22" w:rsidRPr="009A501D">
        <w:rPr>
          <w:rFonts w:ascii="Times New Roman" w:hAnsi="Times New Roman"/>
          <w:sz w:val="24"/>
          <w:szCs w:val="24"/>
        </w:rPr>
        <w:t xml:space="preserve"> </w:t>
      </w:r>
      <w:r w:rsidR="00AA6708" w:rsidRPr="009A501D">
        <w:rPr>
          <w:rFonts w:ascii="Times New Roman" w:hAnsi="Times New Roman"/>
          <w:sz w:val="24"/>
          <w:szCs w:val="24"/>
        </w:rPr>
        <w:t xml:space="preserve">and feelings of </w:t>
      </w:r>
      <w:r w:rsidR="002B54DA" w:rsidRPr="009A501D">
        <w:rPr>
          <w:rFonts w:ascii="Times New Roman" w:hAnsi="Times New Roman"/>
          <w:sz w:val="24"/>
          <w:szCs w:val="24"/>
        </w:rPr>
        <w:t>participants</w:t>
      </w:r>
      <w:r w:rsidR="003C2EC4" w:rsidRPr="009A501D">
        <w:rPr>
          <w:rFonts w:ascii="Times New Roman" w:hAnsi="Times New Roman"/>
          <w:sz w:val="24"/>
          <w:szCs w:val="24"/>
        </w:rPr>
        <w:t xml:space="preserve"> (Purdie et </w:t>
      </w:r>
      <w:r w:rsidR="00366F10" w:rsidRPr="009A501D">
        <w:rPr>
          <w:rFonts w:ascii="Times New Roman" w:hAnsi="Times New Roman"/>
          <w:sz w:val="24"/>
          <w:szCs w:val="24"/>
        </w:rPr>
        <w:t>al</w:t>
      </w:r>
      <w:r w:rsidR="00AA353A">
        <w:rPr>
          <w:rFonts w:ascii="Times New Roman" w:hAnsi="Times New Roman"/>
          <w:sz w:val="24"/>
          <w:szCs w:val="24"/>
        </w:rPr>
        <w:t>.</w:t>
      </w:r>
      <w:r w:rsidR="00366F10" w:rsidRPr="009A501D">
        <w:rPr>
          <w:rFonts w:ascii="Times New Roman" w:hAnsi="Times New Roman"/>
          <w:sz w:val="24"/>
          <w:szCs w:val="24"/>
        </w:rPr>
        <w:t>,</w:t>
      </w:r>
      <w:r w:rsidR="003C2EC4" w:rsidRPr="009A501D">
        <w:rPr>
          <w:rFonts w:ascii="Times New Roman" w:hAnsi="Times New Roman"/>
          <w:sz w:val="24"/>
          <w:szCs w:val="24"/>
        </w:rPr>
        <w:t xml:space="preserve"> 2011)</w:t>
      </w:r>
      <w:r w:rsidR="00AA6708" w:rsidRPr="009A501D">
        <w:rPr>
          <w:rFonts w:ascii="Times New Roman" w:hAnsi="Times New Roman"/>
          <w:sz w:val="24"/>
          <w:szCs w:val="24"/>
        </w:rPr>
        <w:t xml:space="preserve">. </w:t>
      </w:r>
      <w:r w:rsidR="005B4C6E" w:rsidRPr="009A501D">
        <w:rPr>
          <w:rFonts w:ascii="Times New Roman" w:hAnsi="Times New Roman"/>
          <w:sz w:val="24"/>
          <w:szCs w:val="24"/>
        </w:rPr>
        <w:t xml:space="preserve">Analysis of the collected data will follow </w:t>
      </w:r>
      <w:r w:rsidR="002B54DA" w:rsidRPr="009A501D">
        <w:rPr>
          <w:rFonts w:ascii="Times New Roman" w:hAnsi="Times New Roman"/>
          <w:sz w:val="24"/>
          <w:szCs w:val="24"/>
        </w:rPr>
        <w:t>deductive</w:t>
      </w:r>
      <w:r w:rsidR="005B4C6E" w:rsidRPr="009A501D">
        <w:rPr>
          <w:rFonts w:ascii="Times New Roman" w:hAnsi="Times New Roman"/>
          <w:sz w:val="24"/>
          <w:szCs w:val="24"/>
        </w:rPr>
        <w:t xml:space="preserve"> reasoning to draw </w:t>
      </w:r>
      <w:r w:rsidR="00AA353A">
        <w:rPr>
          <w:rFonts w:ascii="Times New Roman" w:hAnsi="Times New Roman"/>
          <w:sz w:val="24"/>
          <w:szCs w:val="24"/>
        </w:rPr>
        <w:t xml:space="preserve">a </w:t>
      </w:r>
      <w:r w:rsidR="005B4C6E" w:rsidRPr="009A501D">
        <w:rPr>
          <w:rFonts w:ascii="Times New Roman" w:hAnsi="Times New Roman"/>
          <w:sz w:val="24"/>
          <w:szCs w:val="24"/>
        </w:rPr>
        <w:t>conclusion in the developing patterns and trends within the data set.</w:t>
      </w:r>
      <w:r w:rsidR="00BA2F80" w:rsidRPr="009A501D">
        <w:rPr>
          <w:rFonts w:ascii="Times New Roman" w:hAnsi="Times New Roman"/>
          <w:sz w:val="24"/>
          <w:szCs w:val="24"/>
        </w:rPr>
        <w:t xml:space="preserve"> </w:t>
      </w:r>
      <w:r w:rsidR="00BF754D" w:rsidRPr="009A501D">
        <w:rPr>
          <w:rFonts w:ascii="Times New Roman" w:hAnsi="Times New Roman"/>
          <w:sz w:val="24"/>
          <w:szCs w:val="24"/>
        </w:rPr>
        <w:t>Sub-categorization of themes or patterns will aid in the summarization of the necessitated action to a</w:t>
      </w:r>
      <w:r w:rsidR="00AA353A">
        <w:rPr>
          <w:rFonts w:ascii="Times New Roman" w:hAnsi="Times New Roman"/>
          <w:sz w:val="24"/>
          <w:szCs w:val="24"/>
        </w:rPr>
        <w:t>ssist</w:t>
      </w:r>
      <w:r w:rsidR="00BF754D" w:rsidRPr="009A501D">
        <w:rPr>
          <w:rFonts w:ascii="Times New Roman" w:hAnsi="Times New Roman"/>
          <w:sz w:val="24"/>
          <w:szCs w:val="24"/>
        </w:rPr>
        <w:t xml:space="preserve"> in </w:t>
      </w:r>
      <w:r w:rsidR="00AA353A">
        <w:rPr>
          <w:rFonts w:ascii="Times New Roman" w:hAnsi="Times New Roman"/>
          <w:sz w:val="24"/>
          <w:szCs w:val="24"/>
        </w:rPr>
        <w:t>closing the</w:t>
      </w:r>
      <w:r w:rsidR="00BF754D" w:rsidRPr="009A501D">
        <w:rPr>
          <w:rFonts w:ascii="Times New Roman" w:hAnsi="Times New Roman"/>
          <w:sz w:val="24"/>
          <w:szCs w:val="24"/>
        </w:rPr>
        <w:t xml:space="preserve"> education gap and inequality among indigenous Australians.</w:t>
      </w:r>
    </w:p>
    <w:p w14:paraId="151B24C6" w14:textId="77777777" w:rsidR="0063491E" w:rsidRPr="009A501D" w:rsidRDefault="005C2400" w:rsidP="00A80270">
      <w:pPr>
        <w:spacing w:line="480" w:lineRule="auto"/>
        <w:jc w:val="center"/>
        <w:rPr>
          <w:rFonts w:ascii="Times New Roman" w:hAnsi="Times New Roman"/>
          <w:b/>
          <w:bCs/>
          <w:sz w:val="24"/>
          <w:szCs w:val="24"/>
        </w:rPr>
      </w:pPr>
      <w:r w:rsidRPr="009A501D">
        <w:rPr>
          <w:rFonts w:ascii="Times New Roman" w:hAnsi="Times New Roman"/>
          <w:b/>
          <w:bCs/>
          <w:sz w:val="24"/>
          <w:szCs w:val="24"/>
        </w:rPr>
        <w:t>Limitations</w:t>
      </w:r>
    </w:p>
    <w:p w14:paraId="4D5E72A8" w14:textId="2B28E104" w:rsidR="0034561C" w:rsidRPr="009A501D" w:rsidRDefault="00BB3081" w:rsidP="00A80270">
      <w:pPr>
        <w:spacing w:line="480" w:lineRule="auto"/>
        <w:rPr>
          <w:rFonts w:ascii="Times New Roman" w:hAnsi="Times New Roman"/>
          <w:sz w:val="24"/>
          <w:szCs w:val="24"/>
        </w:rPr>
      </w:pPr>
      <w:r w:rsidRPr="009A501D">
        <w:rPr>
          <w:rFonts w:ascii="Times New Roman" w:hAnsi="Times New Roman"/>
          <w:sz w:val="24"/>
          <w:szCs w:val="24"/>
        </w:rPr>
        <w:t>Conducting the selected qualit</w:t>
      </w:r>
      <w:r w:rsidR="00E63BC0" w:rsidRPr="009A501D">
        <w:rPr>
          <w:rFonts w:ascii="Times New Roman" w:hAnsi="Times New Roman"/>
          <w:sz w:val="24"/>
          <w:szCs w:val="24"/>
        </w:rPr>
        <w:t>ati</w:t>
      </w:r>
      <w:r w:rsidRPr="009A501D">
        <w:rPr>
          <w:rFonts w:ascii="Times New Roman" w:hAnsi="Times New Roman"/>
          <w:sz w:val="24"/>
          <w:szCs w:val="24"/>
        </w:rPr>
        <w:t>ve analysis is timely, and with the aspect of ethnography intertwined with other research designs, months or years could be best to provide the respective results.</w:t>
      </w:r>
      <w:r w:rsidR="00DF1119" w:rsidRPr="009A501D">
        <w:rPr>
          <w:rFonts w:ascii="Times New Roman" w:hAnsi="Times New Roman"/>
          <w:sz w:val="24"/>
          <w:szCs w:val="24"/>
        </w:rPr>
        <w:t xml:space="preserve"> </w:t>
      </w:r>
      <w:r w:rsidR="001B78FD" w:rsidRPr="009A501D">
        <w:rPr>
          <w:rFonts w:ascii="Times New Roman" w:hAnsi="Times New Roman"/>
          <w:sz w:val="24"/>
          <w:szCs w:val="24"/>
        </w:rPr>
        <w:t>Additionally</w:t>
      </w:r>
      <w:r w:rsidR="00C5125A" w:rsidRPr="009A501D">
        <w:rPr>
          <w:rFonts w:ascii="Times New Roman" w:hAnsi="Times New Roman"/>
          <w:sz w:val="24"/>
          <w:szCs w:val="24"/>
        </w:rPr>
        <w:t>, the prompted ethnography research is challenging and would re</w:t>
      </w:r>
      <w:r w:rsidR="001B78FD" w:rsidRPr="009A501D">
        <w:rPr>
          <w:rFonts w:ascii="Times New Roman" w:hAnsi="Times New Roman"/>
          <w:sz w:val="24"/>
          <w:szCs w:val="24"/>
        </w:rPr>
        <w:t>q</w:t>
      </w:r>
      <w:r w:rsidR="00C5125A" w:rsidRPr="009A501D">
        <w:rPr>
          <w:rFonts w:ascii="Times New Roman" w:hAnsi="Times New Roman"/>
          <w:sz w:val="24"/>
          <w:szCs w:val="24"/>
        </w:rPr>
        <w:t xml:space="preserve">uire </w:t>
      </w:r>
      <w:r w:rsidR="00AA353A">
        <w:rPr>
          <w:rFonts w:ascii="Times New Roman" w:hAnsi="Times New Roman"/>
          <w:sz w:val="24"/>
          <w:szCs w:val="24"/>
        </w:rPr>
        <w:t xml:space="preserve">the </w:t>
      </w:r>
      <w:r w:rsidR="00C5125A" w:rsidRPr="009A501D">
        <w:rPr>
          <w:rFonts w:ascii="Times New Roman" w:hAnsi="Times New Roman"/>
          <w:sz w:val="24"/>
          <w:szCs w:val="24"/>
        </w:rPr>
        <w:t xml:space="preserve">expertise of an experienced researcher to </w:t>
      </w:r>
      <w:r w:rsidR="00AA353A">
        <w:rPr>
          <w:rFonts w:ascii="Times New Roman" w:hAnsi="Times New Roman"/>
          <w:sz w:val="24"/>
          <w:szCs w:val="24"/>
        </w:rPr>
        <w:t>observe and collect data successfully</w:t>
      </w:r>
      <w:r w:rsidR="00C5125A" w:rsidRPr="009A501D">
        <w:rPr>
          <w:rFonts w:ascii="Times New Roman" w:hAnsi="Times New Roman"/>
          <w:sz w:val="24"/>
          <w:szCs w:val="24"/>
        </w:rPr>
        <w:t>.</w:t>
      </w:r>
      <w:r w:rsidR="00BD4E1C" w:rsidRPr="009A501D">
        <w:rPr>
          <w:rFonts w:ascii="Times New Roman" w:hAnsi="Times New Roman"/>
          <w:sz w:val="24"/>
          <w:szCs w:val="24"/>
        </w:rPr>
        <w:t xml:space="preserve"> </w:t>
      </w:r>
      <w:r w:rsidR="005B7C8F" w:rsidRPr="009A501D">
        <w:rPr>
          <w:rFonts w:ascii="Times New Roman" w:hAnsi="Times New Roman"/>
          <w:sz w:val="24"/>
          <w:szCs w:val="24"/>
        </w:rPr>
        <w:t>The aim and objective could be differently exemplified by qualitative research</w:t>
      </w:r>
      <w:r w:rsidR="00AA353A">
        <w:rPr>
          <w:rFonts w:ascii="Times New Roman" w:hAnsi="Times New Roman"/>
          <w:sz w:val="24"/>
          <w:szCs w:val="24"/>
        </w:rPr>
        <w:t>;</w:t>
      </w:r>
      <w:r w:rsidR="005B7C8F" w:rsidRPr="009A501D">
        <w:rPr>
          <w:rFonts w:ascii="Times New Roman" w:hAnsi="Times New Roman"/>
          <w:sz w:val="24"/>
          <w:szCs w:val="24"/>
        </w:rPr>
        <w:t xml:space="preserve"> thus</w:t>
      </w:r>
      <w:r w:rsidR="00AA353A">
        <w:rPr>
          <w:rFonts w:ascii="Times New Roman" w:hAnsi="Times New Roman"/>
          <w:sz w:val="24"/>
          <w:szCs w:val="24"/>
        </w:rPr>
        <w:t>,</w:t>
      </w:r>
      <w:r w:rsidR="005B7C8F" w:rsidRPr="009A501D">
        <w:rPr>
          <w:rFonts w:ascii="Times New Roman" w:hAnsi="Times New Roman"/>
          <w:sz w:val="24"/>
          <w:szCs w:val="24"/>
        </w:rPr>
        <w:t xml:space="preserve"> the resultant outcomes could differ </w:t>
      </w:r>
      <w:r w:rsidR="00AA353A">
        <w:rPr>
          <w:rFonts w:ascii="Times New Roman" w:hAnsi="Times New Roman"/>
          <w:sz w:val="24"/>
          <w:szCs w:val="24"/>
        </w:rPr>
        <w:t>from</w:t>
      </w:r>
      <w:r w:rsidR="005B7C8F" w:rsidRPr="009A501D">
        <w:rPr>
          <w:rFonts w:ascii="Times New Roman" w:hAnsi="Times New Roman"/>
          <w:sz w:val="24"/>
          <w:szCs w:val="24"/>
        </w:rPr>
        <w:t xml:space="preserve"> the projected ideals to reduce the widening educational gap.</w:t>
      </w:r>
      <w:r w:rsidR="006741FA" w:rsidRPr="009A501D">
        <w:rPr>
          <w:rFonts w:ascii="Times New Roman" w:hAnsi="Times New Roman"/>
          <w:sz w:val="24"/>
          <w:szCs w:val="24"/>
        </w:rPr>
        <w:t xml:space="preserve"> </w:t>
      </w:r>
      <w:r w:rsidR="00306F68">
        <w:rPr>
          <w:rFonts w:ascii="Times New Roman" w:hAnsi="Times New Roman"/>
          <w:sz w:val="24"/>
          <w:szCs w:val="24"/>
        </w:rPr>
        <w:t>Q</w:t>
      </w:r>
      <w:r w:rsidR="00D754E2" w:rsidRPr="009A501D">
        <w:rPr>
          <w:rFonts w:ascii="Times New Roman" w:hAnsi="Times New Roman"/>
          <w:sz w:val="24"/>
          <w:szCs w:val="24"/>
        </w:rPr>
        <w:t>ualitative research require</w:t>
      </w:r>
      <w:r w:rsidR="00AA353A">
        <w:rPr>
          <w:rFonts w:ascii="Times New Roman" w:hAnsi="Times New Roman"/>
          <w:sz w:val="24"/>
          <w:szCs w:val="24"/>
        </w:rPr>
        <w:t>s</w:t>
      </w:r>
      <w:r w:rsidR="00D754E2" w:rsidRPr="009A501D">
        <w:rPr>
          <w:rFonts w:ascii="Times New Roman" w:hAnsi="Times New Roman"/>
          <w:sz w:val="24"/>
          <w:szCs w:val="24"/>
        </w:rPr>
        <w:t xml:space="preserve"> resources to actualize</w:t>
      </w:r>
      <w:r w:rsidR="00AA353A">
        <w:rPr>
          <w:rFonts w:ascii="Times New Roman" w:hAnsi="Times New Roman"/>
          <w:sz w:val="24"/>
          <w:szCs w:val="24"/>
        </w:rPr>
        <w:t>—c</w:t>
      </w:r>
      <w:r w:rsidR="007C477C" w:rsidRPr="009A501D">
        <w:rPr>
          <w:rFonts w:ascii="Times New Roman" w:hAnsi="Times New Roman"/>
          <w:sz w:val="24"/>
          <w:szCs w:val="24"/>
        </w:rPr>
        <w:t xml:space="preserve">osts associated with travel expenses, </w:t>
      </w:r>
      <w:r w:rsidR="00B560FD" w:rsidRPr="009A501D">
        <w:rPr>
          <w:rFonts w:ascii="Times New Roman" w:hAnsi="Times New Roman"/>
          <w:sz w:val="24"/>
          <w:szCs w:val="24"/>
        </w:rPr>
        <w:t>s</w:t>
      </w:r>
      <w:r w:rsidR="007C477C" w:rsidRPr="009A501D">
        <w:rPr>
          <w:rFonts w:ascii="Times New Roman" w:hAnsi="Times New Roman"/>
          <w:sz w:val="24"/>
          <w:szCs w:val="24"/>
        </w:rPr>
        <w:t>tationery, accommodation, and sometimes salaries of experts and staff.</w:t>
      </w:r>
      <w:r w:rsidR="00BB70EF" w:rsidRPr="009A501D">
        <w:rPr>
          <w:rFonts w:ascii="Times New Roman" w:hAnsi="Times New Roman"/>
          <w:sz w:val="24"/>
          <w:szCs w:val="24"/>
        </w:rPr>
        <w:t xml:space="preserve"> </w:t>
      </w:r>
    </w:p>
    <w:p w14:paraId="3B616FBF" w14:textId="273AE4D5" w:rsidR="0063491E" w:rsidRPr="009A501D" w:rsidRDefault="007D0EBD" w:rsidP="009A501D">
      <w:pPr>
        <w:numPr>
          <w:ilvl w:val="0"/>
          <w:numId w:val="1"/>
        </w:numPr>
        <w:spacing w:line="480" w:lineRule="auto"/>
        <w:rPr>
          <w:rFonts w:ascii="Times New Roman" w:hAnsi="Times New Roman"/>
          <w:sz w:val="24"/>
          <w:szCs w:val="24"/>
        </w:rPr>
      </w:pPr>
      <w:r w:rsidRPr="009A501D">
        <w:rPr>
          <w:rFonts w:ascii="Times New Roman" w:hAnsi="Times New Roman"/>
          <w:sz w:val="24"/>
          <w:szCs w:val="24"/>
        </w:rPr>
        <w:t>Large sample size to cover for statistical measurements</w:t>
      </w:r>
      <w:r w:rsidR="007904E7">
        <w:rPr>
          <w:rFonts w:ascii="Times New Roman" w:hAnsi="Times New Roman"/>
          <w:sz w:val="24"/>
          <w:szCs w:val="24"/>
        </w:rPr>
        <w:t xml:space="preserve"> in a timely manner</w:t>
      </w:r>
      <w:r w:rsidRPr="009A501D">
        <w:rPr>
          <w:rFonts w:ascii="Times New Roman" w:hAnsi="Times New Roman"/>
          <w:sz w:val="24"/>
          <w:szCs w:val="24"/>
        </w:rPr>
        <w:t>.</w:t>
      </w:r>
    </w:p>
    <w:p w14:paraId="2408CEA0" w14:textId="77777777" w:rsidR="00681391" w:rsidRPr="009A501D" w:rsidRDefault="00091F3D" w:rsidP="009A501D">
      <w:pPr>
        <w:numPr>
          <w:ilvl w:val="0"/>
          <w:numId w:val="1"/>
        </w:numPr>
        <w:spacing w:line="480" w:lineRule="auto"/>
        <w:rPr>
          <w:rFonts w:ascii="Times New Roman" w:hAnsi="Times New Roman"/>
          <w:sz w:val="24"/>
          <w:szCs w:val="24"/>
        </w:rPr>
      </w:pPr>
      <w:r w:rsidRPr="009A501D">
        <w:rPr>
          <w:rFonts w:ascii="Times New Roman" w:hAnsi="Times New Roman"/>
          <w:sz w:val="24"/>
          <w:szCs w:val="24"/>
        </w:rPr>
        <w:t>Limited access to indigenous Australians</w:t>
      </w:r>
      <w:r w:rsidR="00AA353A">
        <w:rPr>
          <w:rFonts w:ascii="Times New Roman" w:hAnsi="Times New Roman"/>
          <w:sz w:val="24"/>
          <w:szCs w:val="24"/>
        </w:rPr>
        <w:t>’</w:t>
      </w:r>
      <w:r w:rsidRPr="009A501D">
        <w:rPr>
          <w:rFonts w:ascii="Times New Roman" w:hAnsi="Times New Roman"/>
          <w:sz w:val="24"/>
          <w:szCs w:val="24"/>
        </w:rPr>
        <w:t xml:space="preserve"> data</w:t>
      </w:r>
      <w:r w:rsidR="00681391" w:rsidRPr="009A501D">
        <w:rPr>
          <w:rFonts w:ascii="Times New Roman" w:hAnsi="Times New Roman"/>
          <w:sz w:val="24"/>
          <w:szCs w:val="24"/>
        </w:rPr>
        <w:t>.</w:t>
      </w:r>
    </w:p>
    <w:p w14:paraId="1B221631" w14:textId="5165D8BF" w:rsidR="00C852BE" w:rsidRPr="00FB17F5" w:rsidRDefault="00681391" w:rsidP="00FB17F5">
      <w:pPr>
        <w:numPr>
          <w:ilvl w:val="0"/>
          <w:numId w:val="1"/>
        </w:numPr>
        <w:spacing w:line="480" w:lineRule="auto"/>
        <w:rPr>
          <w:rFonts w:ascii="Times New Roman" w:hAnsi="Times New Roman"/>
          <w:sz w:val="24"/>
          <w:szCs w:val="24"/>
        </w:rPr>
      </w:pPr>
      <w:r w:rsidRPr="009A501D">
        <w:rPr>
          <w:rFonts w:ascii="Times New Roman" w:hAnsi="Times New Roman"/>
          <w:sz w:val="24"/>
          <w:szCs w:val="24"/>
        </w:rPr>
        <w:t>Indigenous or non-indigenous Australian bias could alter the outcome.</w:t>
      </w:r>
    </w:p>
    <w:p w14:paraId="5F3E8F39" w14:textId="0410FF62" w:rsidR="0063491E" w:rsidRPr="009A501D" w:rsidRDefault="005C2400" w:rsidP="00A80270">
      <w:pPr>
        <w:spacing w:line="480" w:lineRule="auto"/>
        <w:jc w:val="center"/>
        <w:rPr>
          <w:rFonts w:ascii="Times New Roman" w:hAnsi="Times New Roman"/>
          <w:b/>
          <w:bCs/>
          <w:sz w:val="24"/>
          <w:szCs w:val="24"/>
        </w:rPr>
      </w:pPr>
      <w:r w:rsidRPr="009A501D">
        <w:rPr>
          <w:rFonts w:ascii="Times New Roman" w:hAnsi="Times New Roman"/>
          <w:b/>
          <w:bCs/>
          <w:sz w:val="24"/>
          <w:szCs w:val="24"/>
        </w:rPr>
        <w:lastRenderedPageBreak/>
        <w:t xml:space="preserve">Addressing </w:t>
      </w:r>
      <w:r w:rsidR="0063491E" w:rsidRPr="009A501D">
        <w:rPr>
          <w:rFonts w:ascii="Times New Roman" w:hAnsi="Times New Roman"/>
          <w:b/>
          <w:bCs/>
          <w:sz w:val="24"/>
          <w:szCs w:val="24"/>
        </w:rPr>
        <w:t xml:space="preserve">Ethical </w:t>
      </w:r>
      <w:r w:rsidRPr="009A501D">
        <w:rPr>
          <w:rFonts w:ascii="Times New Roman" w:hAnsi="Times New Roman"/>
          <w:b/>
          <w:bCs/>
          <w:sz w:val="24"/>
          <w:szCs w:val="24"/>
        </w:rPr>
        <w:t>Considerations</w:t>
      </w:r>
    </w:p>
    <w:p w14:paraId="4767C7EB" w14:textId="0408397C" w:rsidR="00372538" w:rsidRPr="009A501D" w:rsidRDefault="004A50BF" w:rsidP="00A80270">
      <w:pPr>
        <w:spacing w:line="480" w:lineRule="auto"/>
        <w:rPr>
          <w:rFonts w:ascii="Times New Roman" w:hAnsi="Times New Roman"/>
          <w:sz w:val="24"/>
          <w:szCs w:val="24"/>
        </w:rPr>
      </w:pPr>
      <w:r w:rsidRPr="009A501D">
        <w:rPr>
          <w:rFonts w:ascii="Times New Roman" w:hAnsi="Times New Roman"/>
          <w:sz w:val="24"/>
          <w:szCs w:val="24"/>
        </w:rPr>
        <w:t>The study will consider ethical concerns</w:t>
      </w:r>
      <w:r w:rsidR="00AA353A">
        <w:rPr>
          <w:rFonts w:ascii="Times New Roman" w:hAnsi="Times New Roman"/>
          <w:sz w:val="24"/>
          <w:szCs w:val="24"/>
        </w:rPr>
        <w:t>,</w:t>
      </w:r>
      <w:r w:rsidRPr="009A501D">
        <w:rPr>
          <w:rFonts w:ascii="Times New Roman" w:hAnsi="Times New Roman"/>
          <w:sz w:val="24"/>
          <w:szCs w:val="24"/>
        </w:rPr>
        <w:t xml:space="preserve"> as illustrated by Beauchamp</w:t>
      </w:r>
      <w:r w:rsidR="009636F5">
        <w:rPr>
          <w:rFonts w:ascii="Times New Roman" w:hAnsi="Times New Roman"/>
          <w:sz w:val="24"/>
          <w:szCs w:val="24"/>
        </w:rPr>
        <w:t xml:space="preserve"> (20</w:t>
      </w:r>
      <w:r w:rsidR="005A662A">
        <w:rPr>
          <w:rFonts w:ascii="Times New Roman" w:hAnsi="Times New Roman"/>
          <w:sz w:val="24"/>
          <w:szCs w:val="24"/>
        </w:rPr>
        <w:t>0</w:t>
      </w:r>
      <w:r w:rsidR="009636F5">
        <w:rPr>
          <w:rFonts w:ascii="Times New Roman" w:hAnsi="Times New Roman"/>
          <w:sz w:val="24"/>
          <w:szCs w:val="24"/>
        </w:rPr>
        <w:t>7</w:t>
      </w:r>
      <w:r w:rsidRPr="009A501D">
        <w:rPr>
          <w:rFonts w:ascii="Times New Roman" w:hAnsi="Times New Roman"/>
          <w:sz w:val="24"/>
          <w:szCs w:val="24"/>
        </w:rPr>
        <w:t>)</w:t>
      </w:r>
      <w:r w:rsidR="00802841" w:rsidRPr="009A501D">
        <w:rPr>
          <w:rFonts w:ascii="Times New Roman" w:hAnsi="Times New Roman"/>
          <w:sz w:val="24"/>
          <w:szCs w:val="24"/>
        </w:rPr>
        <w:t>.</w:t>
      </w:r>
      <w:r w:rsidR="00B67B35" w:rsidRPr="009A501D">
        <w:rPr>
          <w:rFonts w:ascii="Times New Roman" w:hAnsi="Times New Roman"/>
          <w:sz w:val="24"/>
          <w:szCs w:val="24"/>
        </w:rPr>
        <w:t xml:space="preserve"> Ethical principles will showcase the selected participants and the concerns of consent</w:t>
      </w:r>
      <w:r w:rsidR="00987C92" w:rsidRPr="009A501D">
        <w:rPr>
          <w:rFonts w:ascii="Times New Roman" w:hAnsi="Times New Roman"/>
          <w:sz w:val="24"/>
          <w:szCs w:val="24"/>
        </w:rPr>
        <w:t>, beneficence, non-maleficence</w:t>
      </w:r>
      <w:r w:rsidR="00AA353A">
        <w:rPr>
          <w:rFonts w:ascii="Times New Roman" w:hAnsi="Times New Roman"/>
          <w:sz w:val="24"/>
          <w:szCs w:val="24"/>
        </w:rPr>
        <w:t>,</w:t>
      </w:r>
      <w:r w:rsidR="00B67B35" w:rsidRPr="009A501D">
        <w:rPr>
          <w:rFonts w:ascii="Times New Roman" w:hAnsi="Times New Roman"/>
          <w:sz w:val="24"/>
          <w:szCs w:val="24"/>
        </w:rPr>
        <w:t xml:space="preserve"> and confidentiality</w:t>
      </w:r>
      <w:r w:rsidR="00987D20" w:rsidRPr="009A501D">
        <w:rPr>
          <w:rFonts w:ascii="Times New Roman" w:hAnsi="Times New Roman"/>
          <w:sz w:val="24"/>
          <w:szCs w:val="24"/>
        </w:rPr>
        <w:t xml:space="preserve"> (Beauchamp, 2007).</w:t>
      </w:r>
      <w:r w:rsidR="00445D11" w:rsidRPr="009A501D">
        <w:rPr>
          <w:rFonts w:ascii="Times New Roman" w:hAnsi="Times New Roman"/>
          <w:sz w:val="24"/>
          <w:szCs w:val="24"/>
        </w:rPr>
        <w:t xml:space="preserve"> </w:t>
      </w:r>
      <w:r w:rsidR="00E03A50" w:rsidRPr="009A501D">
        <w:rPr>
          <w:rFonts w:ascii="Times New Roman" w:hAnsi="Times New Roman"/>
          <w:sz w:val="24"/>
          <w:szCs w:val="24"/>
        </w:rPr>
        <w:t>All participants in the study</w:t>
      </w:r>
      <w:r w:rsidR="008470DD" w:rsidRPr="009A501D">
        <w:rPr>
          <w:rFonts w:ascii="Times New Roman" w:hAnsi="Times New Roman"/>
          <w:sz w:val="24"/>
          <w:szCs w:val="24"/>
        </w:rPr>
        <w:t xml:space="preserve"> will</w:t>
      </w:r>
      <w:r w:rsidR="00E03A50" w:rsidRPr="009A501D">
        <w:rPr>
          <w:rFonts w:ascii="Times New Roman" w:hAnsi="Times New Roman"/>
          <w:sz w:val="24"/>
          <w:szCs w:val="24"/>
        </w:rPr>
        <w:t xml:space="preserve"> have c</w:t>
      </w:r>
      <w:r w:rsidR="001E5D70" w:rsidRPr="009A501D">
        <w:rPr>
          <w:rFonts w:ascii="Times New Roman" w:hAnsi="Times New Roman"/>
          <w:sz w:val="24"/>
          <w:szCs w:val="24"/>
        </w:rPr>
        <w:t>on</w:t>
      </w:r>
      <w:r w:rsidR="00E03A50" w:rsidRPr="009A501D">
        <w:rPr>
          <w:rFonts w:ascii="Times New Roman" w:hAnsi="Times New Roman"/>
          <w:sz w:val="24"/>
          <w:szCs w:val="24"/>
        </w:rPr>
        <w:t>s</w:t>
      </w:r>
      <w:r w:rsidR="001E5D70" w:rsidRPr="009A501D">
        <w:rPr>
          <w:rFonts w:ascii="Times New Roman" w:hAnsi="Times New Roman"/>
          <w:sz w:val="24"/>
          <w:szCs w:val="24"/>
        </w:rPr>
        <w:t>en</w:t>
      </w:r>
      <w:r w:rsidR="00E03A50" w:rsidRPr="009A501D">
        <w:rPr>
          <w:rFonts w:ascii="Times New Roman" w:hAnsi="Times New Roman"/>
          <w:sz w:val="24"/>
          <w:szCs w:val="24"/>
        </w:rPr>
        <w:t xml:space="preserve">ted without being </w:t>
      </w:r>
      <w:r w:rsidR="001E5D70" w:rsidRPr="009A501D">
        <w:rPr>
          <w:rFonts w:ascii="Times New Roman" w:hAnsi="Times New Roman"/>
          <w:sz w:val="24"/>
          <w:szCs w:val="24"/>
        </w:rPr>
        <w:t>coerced</w:t>
      </w:r>
      <w:r w:rsidR="00E03A50" w:rsidRPr="009A501D">
        <w:rPr>
          <w:rFonts w:ascii="Times New Roman" w:hAnsi="Times New Roman"/>
          <w:sz w:val="24"/>
          <w:szCs w:val="24"/>
        </w:rPr>
        <w:t xml:space="preserve"> or unfairly pressurized.</w:t>
      </w:r>
      <w:r w:rsidR="00174C8C" w:rsidRPr="009A501D">
        <w:rPr>
          <w:rFonts w:ascii="Times New Roman" w:hAnsi="Times New Roman"/>
          <w:sz w:val="24"/>
          <w:szCs w:val="24"/>
        </w:rPr>
        <w:t xml:space="preserve"> An indication that all participants are well-</w:t>
      </w:r>
      <w:r w:rsidR="001E5D70" w:rsidRPr="009A501D">
        <w:rPr>
          <w:rFonts w:ascii="Times New Roman" w:hAnsi="Times New Roman"/>
          <w:sz w:val="24"/>
          <w:szCs w:val="24"/>
        </w:rPr>
        <w:t>informed</w:t>
      </w:r>
      <w:r w:rsidR="00174C8C" w:rsidRPr="009A501D">
        <w:rPr>
          <w:rFonts w:ascii="Times New Roman" w:hAnsi="Times New Roman"/>
          <w:sz w:val="24"/>
          <w:szCs w:val="24"/>
        </w:rPr>
        <w:t xml:space="preserve"> before the study, what the study is about, the nature of the study requirements</w:t>
      </w:r>
      <w:r w:rsidR="00AA353A">
        <w:rPr>
          <w:rFonts w:ascii="Times New Roman" w:hAnsi="Times New Roman"/>
          <w:sz w:val="24"/>
          <w:szCs w:val="24"/>
        </w:rPr>
        <w:t>,</w:t>
      </w:r>
      <w:r w:rsidR="00174C8C" w:rsidRPr="009A501D">
        <w:rPr>
          <w:rFonts w:ascii="Times New Roman" w:hAnsi="Times New Roman"/>
          <w:sz w:val="24"/>
          <w:szCs w:val="24"/>
        </w:rPr>
        <w:t xml:space="preserve"> and have the assurance that </w:t>
      </w:r>
      <w:r w:rsidR="001E5D70" w:rsidRPr="009A501D">
        <w:rPr>
          <w:rFonts w:ascii="Times New Roman" w:hAnsi="Times New Roman"/>
          <w:sz w:val="24"/>
          <w:szCs w:val="24"/>
        </w:rPr>
        <w:t>declining</w:t>
      </w:r>
      <w:r w:rsidR="00174C8C" w:rsidRPr="009A501D">
        <w:rPr>
          <w:rFonts w:ascii="Times New Roman" w:hAnsi="Times New Roman"/>
          <w:sz w:val="24"/>
          <w:szCs w:val="24"/>
        </w:rPr>
        <w:t xml:space="preserve"> to participate will not affect any services they receive. </w:t>
      </w:r>
      <w:r w:rsidR="009E2170" w:rsidRPr="009A501D">
        <w:rPr>
          <w:rFonts w:ascii="Times New Roman" w:hAnsi="Times New Roman"/>
          <w:sz w:val="24"/>
          <w:szCs w:val="24"/>
        </w:rPr>
        <w:t xml:space="preserve">All participants acknowledge the aim and objective of the </w:t>
      </w:r>
      <w:r w:rsidR="00DF110F" w:rsidRPr="009A501D">
        <w:rPr>
          <w:rFonts w:ascii="Times New Roman" w:hAnsi="Times New Roman"/>
          <w:sz w:val="24"/>
          <w:szCs w:val="24"/>
        </w:rPr>
        <w:t>study;</w:t>
      </w:r>
      <w:r w:rsidR="009E2170" w:rsidRPr="009A501D">
        <w:rPr>
          <w:rFonts w:ascii="Times New Roman" w:hAnsi="Times New Roman"/>
          <w:sz w:val="24"/>
          <w:szCs w:val="24"/>
        </w:rPr>
        <w:t xml:space="preserve"> thus</w:t>
      </w:r>
      <w:r w:rsidR="00DF110F" w:rsidRPr="009A501D">
        <w:rPr>
          <w:rFonts w:ascii="Times New Roman" w:hAnsi="Times New Roman"/>
          <w:sz w:val="24"/>
          <w:szCs w:val="24"/>
        </w:rPr>
        <w:t>,</w:t>
      </w:r>
      <w:r w:rsidR="009E2170" w:rsidRPr="009A501D">
        <w:rPr>
          <w:rFonts w:ascii="Times New Roman" w:hAnsi="Times New Roman"/>
          <w:sz w:val="24"/>
          <w:szCs w:val="24"/>
        </w:rPr>
        <w:t xml:space="preserve"> they understand their purpose and participation is for the greater good of society. </w:t>
      </w:r>
      <w:r w:rsidR="0073326C" w:rsidRPr="009A501D">
        <w:rPr>
          <w:rFonts w:ascii="Times New Roman" w:hAnsi="Times New Roman"/>
          <w:sz w:val="24"/>
          <w:szCs w:val="24"/>
        </w:rPr>
        <w:t xml:space="preserve">The set </w:t>
      </w:r>
      <w:r w:rsidR="0027183D" w:rsidRPr="009A501D">
        <w:rPr>
          <w:rFonts w:ascii="Times New Roman" w:hAnsi="Times New Roman"/>
          <w:sz w:val="24"/>
          <w:szCs w:val="24"/>
        </w:rPr>
        <w:t>requirements</w:t>
      </w:r>
      <w:r w:rsidR="0073326C" w:rsidRPr="009A501D">
        <w:rPr>
          <w:rFonts w:ascii="Times New Roman" w:hAnsi="Times New Roman"/>
          <w:sz w:val="24"/>
          <w:szCs w:val="24"/>
        </w:rPr>
        <w:t xml:space="preserve"> for the study </w:t>
      </w:r>
      <w:r w:rsidR="00FE6BC7" w:rsidRPr="009A501D">
        <w:rPr>
          <w:rFonts w:ascii="Times New Roman" w:hAnsi="Times New Roman"/>
          <w:sz w:val="24"/>
          <w:szCs w:val="24"/>
        </w:rPr>
        <w:t>are</w:t>
      </w:r>
      <w:r w:rsidR="0073326C" w:rsidRPr="009A501D">
        <w:rPr>
          <w:rFonts w:ascii="Times New Roman" w:hAnsi="Times New Roman"/>
          <w:sz w:val="24"/>
          <w:szCs w:val="24"/>
        </w:rPr>
        <w:t xml:space="preserve"> sensitive to promoting the members of the society </w:t>
      </w:r>
      <w:r w:rsidR="00AA353A">
        <w:rPr>
          <w:rFonts w:ascii="Times New Roman" w:hAnsi="Times New Roman"/>
          <w:sz w:val="24"/>
          <w:szCs w:val="24"/>
        </w:rPr>
        <w:t xml:space="preserve">to </w:t>
      </w:r>
      <w:r w:rsidR="0073326C" w:rsidRPr="009A501D">
        <w:rPr>
          <w:rFonts w:ascii="Times New Roman" w:hAnsi="Times New Roman"/>
          <w:sz w:val="24"/>
          <w:szCs w:val="24"/>
        </w:rPr>
        <w:t xml:space="preserve">gain a higher and </w:t>
      </w:r>
      <w:r w:rsidR="00AA353A">
        <w:rPr>
          <w:rFonts w:ascii="Times New Roman" w:hAnsi="Times New Roman"/>
          <w:sz w:val="24"/>
          <w:szCs w:val="24"/>
        </w:rPr>
        <w:t xml:space="preserve">more </w:t>
      </w:r>
      <w:r w:rsidR="0073326C" w:rsidRPr="009A501D">
        <w:rPr>
          <w:rFonts w:ascii="Times New Roman" w:hAnsi="Times New Roman"/>
          <w:sz w:val="24"/>
          <w:szCs w:val="24"/>
        </w:rPr>
        <w:t>succe</w:t>
      </w:r>
      <w:r w:rsidR="0027183D" w:rsidRPr="009A501D">
        <w:rPr>
          <w:rFonts w:ascii="Times New Roman" w:hAnsi="Times New Roman"/>
          <w:sz w:val="24"/>
          <w:szCs w:val="24"/>
        </w:rPr>
        <w:t>ss</w:t>
      </w:r>
      <w:r w:rsidR="0073326C" w:rsidRPr="009A501D">
        <w:rPr>
          <w:rFonts w:ascii="Times New Roman" w:hAnsi="Times New Roman"/>
          <w:sz w:val="24"/>
          <w:szCs w:val="24"/>
        </w:rPr>
        <w:t>ful front</w:t>
      </w:r>
      <w:r w:rsidR="00195519" w:rsidRPr="009A501D">
        <w:rPr>
          <w:rFonts w:ascii="Times New Roman" w:hAnsi="Times New Roman"/>
          <w:sz w:val="24"/>
          <w:szCs w:val="24"/>
        </w:rPr>
        <w:t xml:space="preserve"> in education. </w:t>
      </w:r>
      <w:r w:rsidR="004428C1" w:rsidRPr="009A501D">
        <w:rPr>
          <w:rFonts w:ascii="Times New Roman" w:hAnsi="Times New Roman"/>
          <w:sz w:val="24"/>
          <w:szCs w:val="24"/>
        </w:rPr>
        <w:t xml:space="preserve">The study will not conduct experimental designs </w:t>
      </w:r>
      <w:r w:rsidR="00AA353A">
        <w:rPr>
          <w:rFonts w:ascii="Times New Roman" w:hAnsi="Times New Roman"/>
          <w:sz w:val="24"/>
          <w:szCs w:val="24"/>
        </w:rPr>
        <w:t>that will harm the participants’ health, mental quality, or psychological underpinning</w:t>
      </w:r>
      <w:r w:rsidR="004428C1" w:rsidRPr="009A501D">
        <w:rPr>
          <w:rFonts w:ascii="Times New Roman" w:hAnsi="Times New Roman"/>
          <w:sz w:val="24"/>
          <w:szCs w:val="24"/>
        </w:rPr>
        <w:t xml:space="preserve">. </w:t>
      </w:r>
      <w:r w:rsidR="004341BF" w:rsidRPr="009A501D">
        <w:rPr>
          <w:rFonts w:ascii="Times New Roman" w:hAnsi="Times New Roman"/>
          <w:sz w:val="24"/>
          <w:szCs w:val="24"/>
        </w:rPr>
        <w:t>Participants</w:t>
      </w:r>
      <w:r w:rsidR="002248C1" w:rsidRPr="009A501D">
        <w:rPr>
          <w:rFonts w:ascii="Times New Roman" w:hAnsi="Times New Roman"/>
          <w:sz w:val="24"/>
          <w:szCs w:val="24"/>
        </w:rPr>
        <w:t xml:space="preserve"> are obligated to quit and report any misconduct experienced while undertaking any related activity in the study.</w:t>
      </w:r>
      <w:r w:rsidR="006924B8" w:rsidRPr="009A501D">
        <w:rPr>
          <w:rFonts w:ascii="Times New Roman" w:hAnsi="Times New Roman"/>
          <w:sz w:val="24"/>
          <w:szCs w:val="24"/>
        </w:rPr>
        <w:t xml:space="preserve"> The study sets </w:t>
      </w:r>
      <w:r w:rsidR="00AA353A">
        <w:rPr>
          <w:rFonts w:ascii="Times New Roman" w:hAnsi="Times New Roman"/>
          <w:sz w:val="24"/>
          <w:szCs w:val="24"/>
        </w:rPr>
        <w:t xml:space="preserve">out </w:t>
      </w:r>
      <w:r w:rsidR="006924B8" w:rsidRPr="009A501D">
        <w:rPr>
          <w:rFonts w:ascii="Times New Roman" w:hAnsi="Times New Roman"/>
          <w:sz w:val="24"/>
          <w:szCs w:val="24"/>
        </w:rPr>
        <w:t>to secure the presented data from interference or invasion.</w:t>
      </w:r>
      <w:r w:rsidR="006A0CA5" w:rsidRPr="009A501D">
        <w:rPr>
          <w:rFonts w:ascii="Times New Roman" w:hAnsi="Times New Roman"/>
          <w:sz w:val="24"/>
          <w:szCs w:val="24"/>
        </w:rPr>
        <w:t xml:space="preserve"> </w:t>
      </w:r>
      <w:r w:rsidR="00DA244E" w:rsidRPr="009A501D">
        <w:rPr>
          <w:rFonts w:ascii="Times New Roman" w:hAnsi="Times New Roman"/>
          <w:sz w:val="24"/>
          <w:szCs w:val="24"/>
        </w:rPr>
        <w:t>Therefore,</w:t>
      </w:r>
      <w:r w:rsidR="006A0CA5" w:rsidRPr="009A501D">
        <w:rPr>
          <w:rFonts w:ascii="Times New Roman" w:hAnsi="Times New Roman"/>
          <w:sz w:val="24"/>
          <w:szCs w:val="24"/>
        </w:rPr>
        <w:t xml:space="preserve"> the identity of all collected data is protected at all times, and it</w:t>
      </w:r>
      <w:r w:rsidR="00AA353A">
        <w:rPr>
          <w:rFonts w:ascii="Times New Roman" w:hAnsi="Times New Roman"/>
          <w:sz w:val="24"/>
          <w:szCs w:val="24"/>
        </w:rPr>
        <w:t>’</w:t>
      </w:r>
      <w:r w:rsidR="006A0CA5" w:rsidRPr="009A501D">
        <w:rPr>
          <w:rFonts w:ascii="Times New Roman" w:hAnsi="Times New Roman"/>
          <w:sz w:val="24"/>
          <w:szCs w:val="24"/>
        </w:rPr>
        <w:t>s not left on unsafe grounds</w:t>
      </w:r>
      <w:r w:rsidR="0097392E" w:rsidRPr="009A501D">
        <w:rPr>
          <w:rFonts w:ascii="Times New Roman" w:hAnsi="Times New Roman"/>
          <w:sz w:val="24"/>
          <w:szCs w:val="24"/>
        </w:rPr>
        <w:t xml:space="preserve"> or unprotected computer files.</w:t>
      </w:r>
      <w:r w:rsidR="009E7EEC" w:rsidRPr="009A501D">
        <w:rPr>
          <w:rFonts w:ascii="Times New Roman" w:hAnsi="Times New Roman"/>
          <w:sz w:val="24"/>
          <w:szCs w:val="24"/>
        </w:rPr>
        <w:t xml:space="preserve"> </w:t>
      </w:r>
      <w:r w:rsidR="008470DD" w:rsidRPr="009A501D">
        <w:rPr>
          <w:rFonts w:ascii="Times New Roman" w:hAnsi="Times New Roman"/>
          <w:sz w:val="24"/>
          <w:szCs w:val="24"/>
        </w:rPr>
        <w:t xml:space="preserve"> </w:t>
      </w:r>
      <w:r w:rsidR="00951DA8" w:rsidRPr="009A501D">
        <w:rPr>
          <w:rFonts w:ascii="Times New Roman" w:hAnsi="Times New Roman"/>
          <w:sz w:val="24"/>
          <w:szCs w:val="24"/>
        </w:rPr>
        <w:t xml:space="preserve"> </w:t>
      </w:r>
      <w:r w:rsidR="004341BF" w:rsidRPr="009A501D">
        <w:rPr>
          <w:rFonts w:ascii="Times New Roman" w:hAnsi="Times New Roman"/>
          <w:sz w:val="24"/>
          <w:szCs w:val="24"/>
        </w:rPr>
        <w:t xml:space="preserve"> </w:t>
      </w:r>
      <w:r w:rsidR="0027183D" w:rsidRPr="009A501D">
        <w:rPr>
          <w:rFonts w:ascii="Times New Roman" w:hAnsi="Times New Roman"/>
          <w:sz w:val="24"/>
          <w:szCs w:val="24"/>
        </w:rPr>
        <w:t xml:space="preserve"> </w:t>
      </w:r>
    </w:p>
    <w:p w14:paraId="736D6832" w14:textId="77777777" w:rsidR="0063491E" w:rsidRPr="009A501D" w:rsidRDefault="0063491E" w:rsidP="009A501D">
      <w:pPr>
        <w:spacing w:line="480" w:lineRule="auto"/>
        <w:rPr>
          <w:rFonts w:ascii="Times New Roman" w:hAnsi="Times New Roman"/>
          <w:sz w:val="24"/>
          <w:szCs w:val="24"/>
        </w:rPr>
      </w:pPr>
    </w:p>
    <w:p w14:paraId="47434099" w14:textId="77777777" w:rsidR="00EC7A12" w:rsidRPr="009A501D" w:rsidRDefault="00EC7A12" w:rsidP="009A501D">
      <w:pPr>
        <w:spacing w:line="480" w:lineRule="auto"/>
        <w:rPr>
          <w:rFonts w:ascii="Times New Roman" w:hAnsi="Times New Roman"/>
          <w:sz w:val="24"/>
          <w:szCs w:val="24"/>
        </w:rPr>
      </w:pPr>
    </w:p>
    <w:p w14:paraId="7A11FFED" w14:textId="77777777" w:rsidR="00C6161A" w:rsidRPr="009A501D" w:rsidRDefault="00C6161A" w:rsidP="009A501D">
      <w:pPr>
        <w:spacing w:line="480" w:lineRule="auto"/>
        <w:rPr>
          <w:rFonts w:ascii="Times New Roman" w:hAnsi="Times New Roman"/>
          <w:sz w:val="24"/>
          <w:szCs w:val="24"/>
        </w:rPr>
      </w:pPr>
    </w:p>
    <w:p w14:paraId="1F9418D7" w14:textId="77777777" w:rsidR="0046554A" w:rsidRPr="009A501D" w:rsidRDefault="0046554A" w:rsidP="009A501D">
      <w:pPr>
        <w:spacing w:line="480" w:lineRule="auto"/>
        <w:rPr>
          <w:rFonts w:ascii="Times New Roman" w:hAnsi="Times New Roman"/>
          <w:sz w:val="24"/>
          <w:szCs w:val="24"/>
        </w:rPr>
      </w:pPr>
    </w:p>
    <w:p w14:paraId="0F89BFC2" w14:textId="77777777" w:rsidR="0046554A" w:rsidRPr="009A501D" w:rsidRDefault="0046554A" w:rsidP="009A501D">
      <w:pPr>
        <w:spacing w:line="480" w:lineRule="auto"/>
        <w:rPr>
          <w:rFonts w:ascii="Times New Roman" w:hAnsi="Times New Roman"/>
          <w:sz w:val="24"/>
          <w:szCs w:val="24"/>
        </w:rPr>
      </w:pPr>
    </w:p>
    <w:p w14:paraId="328E2C2D" w14:textId="77777777" w:rsidR="00E3319E" w:rsidRDefault="00E3319E" w:rsidP="009A501D">
      <w:pPr>
        <w:spacing w:line="480" w:lineRule="auto"/>
        <w:rPr>
          <w:rFonts w:ascii="Times New Roman" w:hAnsi="Times New Roman"/>
          <w:b/>
          <w:bCs/>
          <w:sz w:val="24"/>
          <w:szCs w:val="24"/>
        </w:rPr>
      </w:pPr>
    </w:p>
    <w:p w14:paraId="2E6216C5" w14:textId="77777777" w:rsidR="00AA353A" w:rsidRDefault="00AA353A" w:rsidP="00966461">
      <w:pPr>
        <w:spacing w:line="480" w:lineRule="auto"/>
        <w:rPr>
          <w:rFonts w:ascii="Times New Roman" w:hAnsi="Times New Roman"/>
          <w:b/>
          <w:bCs/>
          <w:sz w:val="24"/>
          <w:szCs w:val="24"/>
        </w:rPr>
      </w:pPr>
    </w:p>
    <w:p w14:paraId="04104BE0" w14:textId="77777777" w:rsidR="00E3319E" w:rsidRPr="00E3319E" w:rsidRDefault="00B44F75" w:rsidP="00E3319E">
      <w:pPr>
        <w:spacing w:line="480" w:lineRule="auto"/>
        <w:jc w:val="center"/>
        <w:rPr>
          <w:rFonts w:ascii="Times New Roman" w:hAnsi="Times New Roman"/>
          <w:b/>
          <w:bCs/>
          <w:sz w:val="24"/>
          <w:szCs w:val="24"/>
        </w:rPr>
      </w:pPr>
      <w:r w:rsidRPr="009A501D">
        <w:rPr>
          <w:rFonts w:ascii="Times New Roman" w:hAnsi="Times New Roman"/>
          <w:b/>
          <w:bCs/>
          <w:sz w:val="24"/>
          <w:szCs w:val="24"/>
        </w:rPr>
        <w:lastRenderedPageBreak/>
        <w:t>References</w:t>
      </w:r>
    </w:p>
    <w:p w14:paraId="003B8EB8"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Altman, J. (2018). </w:t>
      </w:r>
      <w:r w:rsidRPr="009A501D">
        <w:rPr>
          <w:rFonts w:ascii="Times New Roman" w:hAnsi="Times New Roman"/>
          <w:i/>
          <w:iCs/>
          <w:color w:val="222222"/>
          <w:sz w:val="24"/>
          <w:szCs w:val="24"/>
          <w:shd w:val="clear" w:color="auto" w:fill="FFFFFF"/>
        </w:rPr>
        <w:t>Beyond closing the gap: Valuing diversity in Indigenous Australia</w:t>
      </w:r>
      <w:r w:rsidRPr="009A501D">
        <w:rPr>
          <w:rFonts w:ascii="Times New Roman" w:hAnsi="Times New Roman"/>
          <w:color w:val="222222"/>
          <w:sz w:val="24"/>
          <w:szCs w:val="24"/>
          <w:shd w:val="clear" w:color="auto" w:fill="FFFFFF"/>
        </w:rPr>
        <w:t>. Canberra, ACT: Centre for Aboriginal Economic Policy Research (CAEPR), The Australian National University.</w:t>
      </w:r>
    </w:p>
    <w:p w14:paraId="07DEE11E"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Altman, J., Hunter, B., &amp; Biddle, N. (2018). </w:t>
      </w:r>
      <w:r w:rsidRPr="009A501D">
        <w:rPr>
          <w:rFonts w:ascii="Times New Roman" w:hAnsi="Times New Roman"/>
          <w:i/>
          <w:iCs/>
          <w:color w:val="222222"/>
          <w:sz w:val="24"/>
          <w:szCs w:val="24"/>
          <w:shd w:val="clear" w:color="auto" w:fill="FFFFFF"/>
        </w:rPr>
        <w:t>How realistic are the prospects for</w:t>
      </w:r>
      <w:r w:rsidR="004E1E62">
        <w:rPr>
          <w:rFonts w:ascii="Times New Roman" w:hAnsi="Times New Roman"/>
          <w:i/>
          <w:iCs/>
          <w:color w:val="222222"/>
          <w:sz w:val="24"/>
          <w:szCs w:val="24"/>
          <w:shd w:val="clear" w:color="auto" w:fill="FFFFFF"/>
        </w:rPr>
        <w:t>’</w:t>
      </w:r>
      <w:r w:rsidRPr="009A501D">
        <w:rPr>
          <w:rFonts w:ascii="Times New Roman" w:hAnsi="Times New Roman"/>
          <w:i/>
          <w:iCs/>
          <w:color w:val="222222"/>
          <w:sz w:val="24"/>
          <w:szCs w:val="24"/>
          <w:shd w:val="clear" w:color="auto" w:fill="FFFFFF"/>
        </w:rPr>
        <w:t>closing the gaps</w:t>
      </w:r>
      <w:r w:rsidR="004E1E62">
        <w:rPr>
          <w:rFonts w:ascii="Times New Roman" w:hAnsi="Times New Roman"/>
          <w:i/>
          <w:iCs/>
          <w:color w:val="222222"/>
          <w:sz w:val="24"/>
          <w:szCs w:val="24"/>
          <w:shd w:val="clear" w:color="auto" w:fill="FFFFFF"/>
        </w:rPr>
        <w:t>’</w:t>
      </w:r>
      <w:r w:rsidRPr="009A501D">
        <w:rPr>
          <w:rFonts w:ascii="Times New Roman" w:hAnsi="Times New Roman"/>
          <w:i/>
          <w:iCs/>
          <w:color w:val="222222"/>
          <w:sz w:val="24"/>
          <w:szCs w:val="24"/>
          <w:shd w:val="clear" w:color="auto" w:fill="FFFFFF"/>
        </w:rPr>
        <w:t xml:space="preserve"> in socio</w:t>
      </w:r>
      <w:r w:rsidR="004E1E62">
        <w:rPr>
          <w:rFonts w:ascii="Times New Roman" w:hAnsi="Times New Roman"/>
          <w:i/>
          <w:iCs/>
          <w:color w:val="222222"/>
          <w:sz w:val="24"/>
          <w:szCs w:val="24"/>
          <w:shd w:val="clear" w:color="auto" w:fill="FFFFFF"/>
        </w:rPr>
        <w:t>-</w:t>
      </w:r>
      <w:r w:rsidRPr="009A501D">
        <w:rPr>
          <w:rFonts w:ascii="Times New Roman" w:hAnsi="Times New Roman"/>
          <w:i/>
          <w:iCs/>
          <w:color w:val="222222"/>
          <w:sz w:val="24"/>
          <w:szCs w:val="24"/>
          <w:shd w:val="clear" w:color="auto" w:fill="FFFFFF"/>
        </w:rPr>
        <w:t>economic outcomes for Indigenous Australians?</w:t>
      </w:r>
      <w:r w:rsidRPr="009A501D">
        <w:rPr>
          <w:rFonts w:ascii="Times New Roman" w:hAnsi="Times New Roman"/>
          <w:color w:val="222222"/>
          <w:sz w:val="24"/>
          <w:szCs w:val="24"/>
          <w:shd w:val="clear" w:color="auto" w:fill="FFFFFF"/>
        </w:rPr>
        <w:t xml:space="preserve"> Canberra, ACT: Centre for Aboriginal Economic Policy Research (CAEPR), The Australian National University. </w:t>
      </w:r>
    </w:p>
    <w:p w14:paraId="0C6EFF30"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Australia. Ministerial Council on Education, Employment, Training and Youth Affairs (MCEETYA). (2000). Achieving educational equality for Australia’s Aboriginal and Torres Strait Islander Peoples: discussion paper.</w:t>
      </w:r>
    </w:p>
    <w:p w14:paraId="19409AA3"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Beauchamp, T. L. (2007). The ‘four principles’ approach to health care ethics. </w:t>
      </w:r>
      <w:r w:rsidRPr="009A501D">
        <w:rPr>
          <w:rFonts w:ascii="Times New Roman" w:hAnsi="Times New Roman"/>
          <w:i/>
          <w:iCs/>
          <w:color w:val="222222"/>
          <w:sz w:val="24"/>
          <w:szCs w:val="24"/>
          <w:shd w:val="clear" w:color="auto" w:fill="FFFFFF"/>
        </w:rPr>
        <w:t>Principles of health care ethics</w:t>
      </w:r>
      <w:r w:rsidRPr="009A501D">
        <w:rPr>
          <w:rFonts w:ascii="Times New Roman" w:hAnsi="Times New Roman"/>
          <w:color w:val="222222"/>
          <w:sz w:val="24"/>
          <w:szCs w:val="24"/>
          <w:shd w:val="clear" w:color="auto" w:fill="FFFFFF"/>
        </w:rPr>
        <w:t>, </w:t>
      </w:r>
      <w:r w:rsidRPr="009A501D">
        <w:rPr>
          <w:rFonts w:ascii="Times New Roman" w:hAnsi="Times New Roman"/>
          <w:i/>
          <w:iCs/>
          <w:color w:val="222222"/>
          <w:sz w:val="24"/>
          <w:szCs w:val="24"/>
          <w:shd w:val="clear" w:color="auto" w:fill="FFFFFF"/>
        </w:rPr>
        <w:t>29</w:t>
      </w:r>
      <w:r w:rsidRPr="009A501D">
        <w:rPr>
          <w:rFonts w:ascii="Times New Roman" w:hAnsi="Times New Roman"/>
          <w:color w:val="222222"/>
          <w:sz w:val="24"/>
          <w:szCs w:val="24"/>
          <w:shd w:val="clear" w:color="auto" w:fill="FFFFFF"/>
        </w:rPr>
        <w:t>, 3-10.</w:t>
      </w:r>
    </w:p>
    <w:p w14:paraId="5E79315D"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Brown, L. (2019). Indigenous young people, disadvantage and the violence of settler colonial education policy and curriculum. </w:t>
      </w:r>
      <w:r w:rsidRPr="009A501D">
        <w:rPr>
          <w:rFonts w:ascii="Times New Roman" w:hAnsi="Times New Roman"/>
          <w:i/>
          <w:iCs/>
          <w:color w:val="222222"/>
          <w:sz w:val="24"/>
          <w:szCs w:val="24"/>
          <w:shd w:val="clear" w:color="auto" w:fill="FFFFFF"/>
        </w:rPr>
        <w:t>Journal of Sociology</w:t>
      </w:r>
      <w:r w:rsidRPr="009A501D">
        <w:rPr>
          <w:rFonts w:ascii="Times New Roman" w:hAnsi="Times New Roman"/>
          <w:color w:val="222222"/>
          <w:sz w:val="24"/>
          <w:szCs w:val="24"/>
          <w:shd w:val="clear" w:color="auto" w:fill="FFFFFF"/>
        </w:rPr>
        <w:t>, </w:t>
      </w:r>
      <w:r w:rsidRPr="009A501D">
        <w:rPr>
          <w:rFonts w:ascii="Times New Roman" w:hAnsi="Times New Roman"/>
          <w:i/>
          <w:iCs/>
          <w:color w:val="222222"/>
          <w:sz w:val="24"/>
          <w:szCs w:val="24"/>
          <w:shd w:val="clear" w:color="auto" w:fill="FFFFFF"/>
        </w:rPr>
        <w:t>55</w:t>
      </w:r>
      <w:r w:rsidRPr="009A501D">
        <w:rPr>
          <w:rFonts w:ascii="Times New Roman" w:hAnsi="Times New Roman"/>
          <w:color w:val="222222"/>
          <w:sz w:val="24"/>
          <w:szCs w:val="24"/>
          <w:shd w:val="clear" w:color="auto" w:fill="FFFFFF"/>
        </w:rPr>
        <w:t xml:space="preserve">(1), 54-71. </w:t>
      </w:r>
    </w:p>
    <w:p w14:paraId="6A67A109" w14:textId="77777777" w:rsidR="00E3319E" w:rsidRPr="009A501D" w:rsidRDefault="00E3319E" w:rsidP="00E3319E">
      <w:pPr>
        <w:spacing w:line="480" w:lineRule="auto"/>
        <w:ind w:left="720" w:hanging="720"/>
        <w:rPr>
          <w:rFonts w:ascii="Times New Roman" w:hAnsi="Times New Roman"/>
          <w:sz w:val="24"/>
          <w:szCs w:val="24"/>
        </w:rPr>
      </w:pPr>
      <w:r w:rsidRPr="009A501D">
        <w:rPr>
          <w:rFonts w:ascii="Times New Roman" w:hAnsi="Times New Roman"/>
          <w:sz w:val="24"/>
          <w:szCs w:val="24"/>
        </w:rPr>
        <w:t>Devlin, M. (2009). Indigenous higher education student equity: Focusing on what works. The Australian Journal of Indigenous Education, 38, 1–8.</w:t>
      </w:r>
    </w:p>
    <w:p w14:paraId="2499D7D3"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 xml:space="preserve">Fahey, G. (2021). Mind the Gap: Understanding the Indigenous education gap and how to close it.  </w:t>
      </w:r>
    </w:p>
    <w:p w14:paraId="6A8C1872" w14:textId="615AA353" w:rsidR="00FA2872" w:rsidRPr="009A501D" w:rsidRDefault="00FA2872" w:rsidP="00E3319E">
      <w:pPr>
        <w:spacing w:line="480" w:lineRule="auto"/>
        <w:ind w:left="720" w:hanging="720"/>
        <w:rPr>
          <w:rFonts w:ascii="Times New Roman" w:hAnsi="Times New Roman"/>
          <w:sz w:val="24"/>
          <w:szCs w:val="24"/>
        </w:rPr>
      </w:pPr>
      <w:r w:rsidRPr="00FA2872">
        <w:rPr>
          <w:rFonts w:ascii="Times New Roman" w:hAnsi="Times New Roman"/>
          <w:sz w:val="24"/>
          <w:szCs w:val="24"/>
        </w:rPr>
        <w:t>Gray, M., Hunter, B., &amp; Schwab, R. (2018). A critical survey of Indigenous education outcomes, 1986-96. Canberra, ACT: Centre for Aboriginal Economic Policy Research (CAEPR), The Australian National University.</w:t>
      </w:r>
    </w:p>
    <w:p w14:paraId="06DEFAFD" w14:textId="3C97A938" w:rsidR="00E032D5" w:rsidRPr="009A501D" w:rsidRDefault="00E032D5" w:rsidP="00E3319E">
      <w:pPr>
        <w:spacing w:line="480" w:lineRule="auto"/>
        <w:ind w:left="720" w:hanging="720"/>
        <w:rPr>
          <w:rFonts w:ascii="Times New Roman" w:hAnsi="Times New Roman"/>
          <w:color w:val="222222"/>
          <w:sz w:val="24"/>
          <w:szCs w:val="24"/>
          <w:shd w:val="clear" w:color="auto" w:fill="FFFFFF"/>
        </w:rPr>
      </w:pPr>
      <w:bookmarkStart w:id="0" w:name="_Hlk117114878"/>
      <w:r w:rsidRPr="00E032D5">
        <w:rPr>
          <w:rFonts w:ascii="Times New Roman" w:hAnsi="Times New Roman"/>
          <w:color w:val="222222"/>
          <w:sz w:val="24"/>
          <w:szCs w:val="24"/>
          <w:shd w:val="clear" w:color="auto" w:fill="FFFFFF"/>
        </w:rPr>
        <w:lastRenderedPageBreak/>
        <w:t>Malin, M., &amp; Maidment, D. (2003)</w:t>
      </w:r>
      <w:bookmarkEnd w:id="0"/>
      <w:r w:rsidRPr="00E032D5">
        <w:rPr>
          <w:rFonts w:ascii="Times New Roman" w:hAnsi="Times New Roman"/>
          <w:color w:val="222222"/>
          <w:sz w:val="24"/>
          <w:szCs w:val="24"/>
          <w:shd w:val="clear" w:color="auto" w:fill="FFFFFF"/>
        </w:rPr>
        <w:t>. Education, Indigenous survival and well-being: Emerging ideas and programs. The Australian Journal of Indigenous Education, 32, 85-100.</w:t>
      </w:r>
    </w:p>
    <w:p w14:paraId="69D5979C" w14:textId="77777777" w:rsidR="00E3319E" w:rsidRPr="009A501D" w:rsidRDefault="00E3319E" w:rsidP="00E3319E">
      <w:pPr>
        <w:spacing w:line="480" w:lineRule="auto"/>
        <w:ind w:left="720" w:hanging="720"/>
        <w:rPr>
          <w:rFonts w:ascii="Times New Roman" w:hAnsi="Times New Roman"/>
          <w:sz w:val="24"/>
          <w:szCs w:val="24"/>
        </w:rPr>
      </w:pPr>
      <w:r w:rsidRPr="009A501D">
        <w:rPr>
          <w:rFonts w:ascii="Times New Roman" w:hAnsi="Times New Roman"/>
          <w:color w:val="222222"/>
          <w:sz w:val="24"/>
          <w:szCs w:val="24"/>
          <w:shd w:val="clear" w:color="auto" w:fill="FFFFFF"/>
        </w:rPr>
        <w:t>McConney, A., Oliver, M., Woods‐McConney, A., &amp; Schibeci, R. (2011). Bridging the gap? A comparative, retrospective analysis of science literacy and interest in science for indigenous and non‐indigenous Australian students. </w:t>
      </w:r>
      <w:r w:rsidRPr="009A501D">
        <w:rPr>
          <w:rFonts w:ascii="Times New Roman" w:hAnsi="Times New Roman"/>
          <w:i/>
          <w:iCs/>
          <w:color w:val="222222"/>
          <w:sz w:val="24"/>
          <w:szCs w:val="24"/>
          <w:shd w:val="clear" w:color="auto" w:fill="FFFFFF"/>
        </w:rPr>
        <w:t>International Journal of Science Education</w:t>
      </w:r>
      <w:r w:rsidRPr="009A501D">
        <w:rPr>
          <w:rFonts w:ascii="Times New Roman" w:hAnsi="Times New Roman"/>
          <w:color w:val="222222"/>
          <w:sz w:val="24"/>
          <w:szCs w:val="24"/>
          <w:shd w:val="clear" w:color="auto" w:fill="FFFFFF"/>
        </w:rPr>
        <w:t>, </w:t>
      </w:r>
      <w:r w:rsidRPr="009A501D">
        <w:rPr>
          <w:rFonts w:ascii="Times New Roman" w:hAnsi="Times New Roman"/>
          <w:i/>
          <w:iCs/>
          <w:color w:val="222222"/>
          <w:sz w:val="24"/>
          <w:szCs w:val="24"/>
          <w:shd w:val="clear" w:color="auto" w:fill="FFFFFF"/>
        </w:rPr>
        <w:t>33</w:t>
      </w:r>
      <w:r w:rsidRPr="009A501D">
        <w:rPr>
          <w:rFonts w:ascii="Times New Roman" w:hAnsi="Times New Roman"/>
          <w:color w:val="222222"/>
          <w:sz w:val="24"/>
          <w:szCs w:val="24"/>
          <w:shd w:val="clear" w:color="auto" w:fill="FFFFFF"/>
        </w:rPr>
        <w:t xml:space="preserve">(14), 2017-2035. </w:t>
      </w:r>
    </w:p>
    <w:p w14:paraId="4FB71357" w14:textId="77777777" w:rsidR="00E3319E" w:rsidRPr="009A501D" w:rsidRDefault="00E3319E" w:rsidP="00E3319E">
      <w:pPr>
        <w:spacing w:line="480" w:lineRule="auto"/>
        <w:ind w:left="720" w:hanging="720"/>
        <w:rPr>
          <w:rFonts w:ascii="Times New Roman" w:hAnsi="Times New Roman"/>
          <w:sz w:val="24"/>
          <w:szCs w:val="24"/>
        </w:rPr>
      </w:pPr>
      <w:r w:rsidRPr="009A501D">
        <w:rPr>
          <w:rFonts w:ascii="Times New Roman" w:hAnsi="Times New Roman"/>
          <w:sz w:val="24"/>
          <w:szCs w:val="24"/>
        </w:rPr>
        <w:t>O</w:t>
      </w:r>
      <w:r w:rsidR="004E1E62">
        <w:rPr>
          <w:rFonts w:ascii="Times New Roman" w:hAnsi="Times New Roman"/>
          <w:sz w:val="24"/>
          <w:szCs w:val="24"/>
        </w:rPr>
        <w:t>’</w:t>
      </w:r>
      <w:r w:rsidRPr="009A501D">
        <w:rPr>
          <w:rFonts w:ascii="Times New Roman" w:hAnsi="Times New Roman"/>
          <w:sz w:val="24"/>
          <w:szCs w:val="24"/>
        </w:rPr>
        <w:t xml:space="preserve">Rourke, V. (2008, December). Invisible fences: Perceived institutional barriers to success for Indigenous university students. Paper presented at the AARE 2008 International Education Research Conference, Brisbane, Australia. Retrieved from </w:t>
      </w:r>
      <w:hyperlink r:id="rId7" w:history="1">
        <w:r w:rsidRPr="009A501D">
          <w:rPr>
            <w:rStyle w:val="Hyperlink"/>
            <w:rFonts w:ascii="Times New Roman" w:hAnsi="Times New Roman"/>
            <w:sz w:val="24"/>
            <w:szCs w:val="24"/>
          </w:rPr>
          <w:t>http://www.aare.edu.au/08pap/oro08799.pdf</w:t>
        </w:r>
      </w:hyperlink>
    </w:p>
    <w:p w14:paraId="3D6DCCD8"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Purdie, N., &amp; Buckley, S. (2010). School attendance and retention of Indigenous Australian students.</w:t>
      </w:r>
    </w:p>
    <w:p w14:paraId="385844F3"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 xml:space="preserve">Purdie, N., Reid, K., Frigo, T., Stone, A., &amp; Kleinhenz, E. (2011). Literacy and numeracy learning: lessons from the Longitudinal Literacy and Numeracy Study for Indigenous Students. </w:t>
      </w:r>
    </w:p>
    <w:p w14:paraId="2D59E6E2"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Rigby, W., Duffy, E., Manners, J., Latham, H., Lyons, L., Crawford, L., &amp; Eldridge, R. (2011). Closing the gap: Cultural safety in Indigenous health education. </w:t>
      </w:r>
      <w:r w:rsidRPr="009A501D">
        <w:rPr>
          <w:rFonts w:ascii="Times New Roman" w:hAnsi="Times New Roman"/>
          <w:i/>
          <w:iCs/>
          <w:color w:val="222222"/>
          <w:sz w:val="24"/>
          <w:szCs w:val="24"/>
          <w:shd w:val="clear" w:color="auto" w:fill="FFFFFF"/>
        </w:rPr>
        <w:t>Contemporary Nurse</w:t>
      </w:r>
      <w:r w:rsidRPr="009A501D">
        <w:rPr>
          <w:rFonts w:ascii="Times New Roman" w:hAnsi="Times New Roman"/>
          <w:color w:val="222222"/>
          <w:sz w:val="24"/>
          <w:szCs w:val="24"/>
          <w:shd w:val="clear" w:color="auto" w:fill="FFFFFF"/>
        </w:rPr>
        <w:t>, </w:t>
      </w:r>
      <w:r w:rsidRPr="009A501D">
        <w:rPr>
          <w:rFonts w:ascii="Times New Roman" w:hAnsi="Times New Roman"/>
          <w:i/>
          <w:iCs/>
          <w:color w:val="222222"/>
          <w:sz w:val="24"/>
          <w:szCs w:val="24"/>
          <w:shd w:val="clear" w:color="auto" w:fill="FFFFFF"/>
        </w:rPr>
        <w:t>37</w:t>
      </w:r>
      <w:r w:rsidRPr="009A501D">
        <w:rPr>
          <w:rFonts w:ascii="Times New Roman" w:hAnsi="Times New Roman"/>
          <w:color w:val="222222"/>
          <w:sz w:val="24"/>
          <w:szCs w:val="24"/>
          <w:shd w:val="clear" w:color="auto" w:fill="FFFFFF"/>
        </w:rPr>
        <w:t>(1), 21-30.</w:t>
      </w:r>
    </w:p>
    <w:p w14:paraId="7EC55F93" w14:textId="05BA0323" w:rsidR="00E3319E" w:rsidRPr="00C852BE" w:rsidRDefault="00E3319E" w:rsidP="00C852B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t>Rudolph, S. (2011). Rethinking Indigenous educational disadvantage. </w:t>
      </w:r>
      <w:r w:rsidRPr="009A501D">
        <w:rPr>
          <w:rFonts w:ascii="Times New Roman" w:hAnsi="Times New Roman"/>
          <w:i/>
          <w:iCs/>
          <w:color w:val="222222"/>
          <w:sz w:val="24"/>
          <w:szCs w:val="24"/>
          <w:shd w:val="clear" w:color="auto" w:fill="FFFFFF"/>
        </w:rPr>
        <w:t>Unpublished master’s thesis). University of Melbourne, Australia</w:t>
      </w:r>
      <w:r w:rsidRPr="009A501D">
        <w:rPr>
          <w:rFonts w:ascii="Times New Roman" w:hAnsi="Times New Roman"/>
          <w:color w:val="222222"/>
          <w:sz w:val="24"/>
          <w:szCs w:val="24"/>
          <w:shd w:val="clear" w:color="auto" w:fill="FFFFFF"/>
        </w:rPr>
        <w:t xml:space="preserve">. </w:t>
      </w:r>
      <w:r w:rsidRPr="009A501D">
        <w:rPr>
          <w:rFonts w:ascii="Times New Roman" w:hAnsi="Times New Roman"/>
          <w:sz w:val="24"/>
          <w:szCs w:val="24"/>
        </w:rPr>
        <w:t>the four principles of Tom</w:t>
      </w:r>
    </w:p>
    <w:p w14:paraId="47DD5244" w14:textId="77777777" w:rsidR="00E3319E" w:rsidRPr="009A501D" w:rsidRDefault="00E3319E" w:rsidP="00E3319E">
      <w:pPr>
        <w:spacing w:line="480" w:lineRule="auto"/>
        <w:ind w:left="720" w:hanging="720"/>
        <w:rPr>
          <w:rFonts w:ascii="Times New Roman" w:hAnsi="Times New Roman"/>
          <w:color w:val="222222"/>
          <w:sz w:val="24"/>
          <w:szCs w:val="24"/>
          <w:shd w:val="clear" w:color="auto" w:fill="FFFFFF"/>
        </w:rPr>
      </w:pPr>
      <w:r w:rsidRPr="009A501D">
        <w:rPr>
          <w:rFonts w:ascii="Times New Roman" w:hAnsi="Times New Roman"/>
          <w:color w:val="222222"/>
          <w:sz w:val="24"/>
          <w:szCs w:val="24"/>
          <w:shd w:val="clear" w:color="auto" w:fill="FFFFFF"/>
        </w:rPr>
        <w:lastRenderedPageBreak/>
        <w:t>Willems, J. (2012). Educational resilience as a quadripartite responsibility: Indigenous peoples participating in higher education via distance education. </w:t>
      </w:r>
      <w:r w:rsidRPr="009A501D">
        <w:rPr>
          <w:rFonts w:ascii="Times New Roman" w:hAnsi="Times New Roman"/>
          <w:i/>
          <w:iCs/>
          <w:color w:val="222222"/>
          <w:sz w:val="24"/>
          <w:szCs w:val="24"/>
          <w:shd w:val="clear" w:color="auto" w:fill="FFFFFF"/>
        </w:rPr>
        <w:t>Journal of Open, Flexible and Distance Learning</w:t>
      </w:r>
      <w:r w:rsidRPr="009A501D">
        <w:rPr>
          <w:rFonts w:ascii="Times New Roman" w:hAnsi="Times New Roman"/>
          <w:color w:val="222222"/>
          <w:sz w:val="24"/>
          <w:szCs w:val="24"/>
          <w:shd w:val="clear" w:color="auto" w:fill="FFFFFF"/>
        </w:rPr>
        <w:t>, </w:t>
      </w:r>
      <w:r w:rsidRPr="009A501D">
        <w:rPr>
          <w:rFonts w:ascii="Times New Roman" w:hAnsi="Times New Roman"/>
          <w:i/>
          <w:iCs/>
          <w:color w:val="222222"/>
          <w:sz w:val="24"/>
          <w:szCs w:val="24"/>
          <w:shd w:val="clear" w:color="auto" w:fill="FFFFFF"/>
        </w:rPr>
        <w:t>16</w:t>
      </w:r>
      <w:r w:rsidRPr="009A501D">
        <w:rPr>
          <w:rFonts w:ascii="Times New Roman" w:hAnsi="Times New Roman"/>
          <w:color w:val="222222"/>
          <w:sz w:val="24"/>
          <w:szCs w:val="24"/>
          <w:shd w:val="clear" w:color="auto" w:fill="FFFFFF"/>
        </w:rPr>
        <w:t xml:space="preserve">(1), 14-27. </w:t>
      </w:r>
    </w:p>
    <w:p w14:paraId="10A9DE23" w14:textId="77777777" w:rsidR="0046554A" w:rsidRPr="009A501D" w:rsidRDefault="0046554A" w:rsidP="009A501D">
      <w:pPr>
        <w:spacing w:line="480" w:lineRule="auto"/>
        <w:rPr>
          <w:rFonts w:ascii="Times New Roman" w:hAnsi="Times New Roman"/>
          <w:sz w:val="24"/>
          <w:szCs w:val="24"/>
        </w:rPr>
      </w:pPr>
    </w:p>
    <w:p w14:paraId="5FBB999D" w14:textId="77777777" w:rsidR="0046554A" w:rsidRPr="009A501D" w:rsidRDefault="0046554A" w:rsidP="009A501D">
      <w:pPr>
        <w:spacing w:line="480" w:lineRule="auto"/>
        <w:rPr>
          <w:rFonts w:ascii="Times New Roman" w:hAnsi="Times New Roman"/>
          <w:sz w:val="24"/>
          <w:szCs w:val="24"/>
        </w:rPr>
      </w:pPr>
    </w:p>
    <w:p w14:paraId="3B00FF04" w14:textId="77777777" w:rsidR="0046554A" w:rsidRPr="009A501D" w:rsidRDefault="0046554A" w:rsidP="009A501D">
      <w:pPr>
        <w:spacing w:line="480" w:lineRule="auto"/>
        <w:rPr>
          <w:rFonts w:ascii="Times New Roman" w:hAnsi="Times New Roman"/>
          <w:sz w:val="24"/>
          <w:szCs w:val="24"/>
        </w:rPr>
      </w:pPr>
    </w:p>
    <w:p w14:paraId="30441445" w14:textId="77777777" w:rsidR="0046554A" w:rsidRPr="009A501D" w:rsidRDefault="0046554A" w:rsidP="009A501D">
      <w:pPr>
        <w:spacing w:line="480" w:lineRule="auto"/>
        <w:rPr>
          <w:rFonts w:ascii="Times New Roman" w:hAnsi="Times New Roman"/>
          <w:sz w:val="24"/>
          <w:szCs w:val="24"/>
        </w:rPr>
      </w:pPr>
    </w:p>
    <w:p w14:paraId="3ECA7069" w14:textId="77777777" w:rsidR="0046554A" w:rsidRPr="009A501D" w:rsidRDefault="0046554A" w:rsidP="009A501D">
      <w:pPr>
        <w:spacing w:line="480" w:lineRule="auto"/>
        <w:rPr>
          <w:rFonts w:ascii="Times New Roman" w:hAnsi="Times New Roman"/>
          <w:sz w:val="24"/>
          <w:szCs w:val="24"/>
        </w:rPr>
      </w:pPr>
    </w:p>
    <w:p w14:paraId="774741B6" w14:textId="77777777" w:rsidR="00C6161A" w:rsidRPr="009A501D" w:rsidRDefault="00C6161A" w:rsidP="009A501D">
      <w:pPr>
        <w:spacing w:line="480" w:lineRule="auto"/>
        <w:rPr>
          <w:rFonts w:ascii="Times New Roman" w:hAnsi="Times New Roman"/>
          <w:sz w:val="24"/>
          <w:szCs w:val="24"/>
        </w:rPr>
      </w:pPr>
    </w:p>
    <w:p w14:paraId="03B0CD98" w14:textId="77777777" w:rsidR="0063491E" w:rsidRPr="009A501D" w:rsidRDefault="0063491E" w:rsidP="009A501D">
      <w:pPr>
        <w:spacing w:line="480" w:lineRule="auto"/>
        <w:rPr>
          <w:rFonts w:ascii="Times New Roman" w:hAnsi="Times New Roman"/>
          <w:sz w:val="24"/>
          <w:szCs w:val="24"/>
        </w:rPr>
      </w:pPr>
    </w:p>
    <w:sectPr w:rsidR="0063491E" w:rsidRPr="009A50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8097" w14:textId="77777777" w:rsidR="00721DF7" w:rsidRDefault="00721DF7" w:rsidP="003320CA">
      <w:pPr>
        <w:spacing w:after="0" w:line="240" w:lineRule="auto"/>
      </w:pPr>
      <w:r>
        <w:separator/>
      </w:r>
    </w:p>
  </w:endnote>
  <w:endnote w:type="continuationSeparator" w:id="0">
    <w:p w14:paraId="37B3A73E" w14:textId="77777777" w:rsidR="00721DF7" w:rsidRDefault="00721DF7" w:rsidP="003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08EA" w14:textId="77777777" w:rsidR="00721DF7" w:rsidRDefault="00721DF7" w:rsidP="003320CA">
      <w:pPr>
        <w:spacing w:after="0" w:line="240" w:lineRule="auto"/>
      </w:pPr>
      <w:r>
        <w:separator/>
      </w:r>
    </w:p>
  </w:footnote>
  <w:footnote w:type="continuationSeparator" w:id="0">
    <w:p w14:paraId="46F035B7" w14:textId="77777777" w:rsidR="00721DF7" w:rsidRDefault="00721DF7" w:rsidP="0033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ECE" w14:textId="77777777" w:rsidR="003320CA" w:rsidRPr="00353365" w:rsidRDefault="003320CA">
    <w:pPr>
      <w:pStyle w:val="Header"/>
      <w:jc w:val="right"/>
      <w:rPr>
        <w:rFonts w:ascii="Times New Roman" w:hAnsi="Times New Roman"/>
        <w:sz w:val="24"/>
        <w:szCs w:val="24"/>
      </w:rPr>
    </w:pPr>
    <w:r w:rsidRPr="00353365">
      <w:rPr>
        <w:rFonts w:ascii="Times New Roman" w:hAnsi="Times New Roman"/>
        <w:sz w:val="24"/>
        <w:szCs w:val="24"/>
      </w:rPr>
      <w:fldChar w:fldCharType="begin"/>
    </w:r>
    <w:r w:rsidRPr="00353365">
      <w:rPr>
        <w:rFonts w:ascii="Times New Roman" w:hAnsi="Times New Roman"/>
        <w:sz w:val="24"/>
        <w:szCs w:val="24"/>
      </w:rPr>
      <w:instrText xml:space="preserve"> PAGE   \* MERGEFORMAT </w:instrText>
    </w:r>
    <w:r w:rsidRPr="00353365">
      <w:rPr>
        <w:rFonts w:ascii="Times New Roman" w:hAnsi="Times New Roman"/>
        <w:sz w:val="24"/>
        <w:szCs w:val="24"/>
      </w:rPr>
      <w:fldChar w:fldCharType="separate"/>
    </w:r>
    <w:r w:rsidRPr="00353365">
      <w:rPr>
        <w:rFonts w:ascii="Times New Roman" w:hAnsi="Times New Roman"/>
        <w:noProof/>
        <w:sz w:val="24"/>
        <w:szCs w:val="24"/>
      </w:rPr>
      <w:t>2</w:t>
    </w:r>
    <w:r w:rsidRPr="00353365">
      <w:rPr>
        <w:rFonts w:ascii="Times New Roman" w:hAnsi="Times New Roman"/>
        <w:noProof/>
        <w:sz w:val="24"/>
        <w:szCs w:val="24"/>
      </w:rPr>
      <w:fldChar w:fldCharType="end"/>
    </w:r>
  </w:p>
  <w:p w14:paraId="13CAE93E" w14:textId="77777777" w:rsidR="003320CA" w:rsidRDefault="0033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17E"/>
    <w:multiLevelType w:val="hybridMultilevel"/>
    <w:tmpl w:val="E1029C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23006480"/>
    <w:multiLevelType w:val="hybridMultilevel"/>
    <w:tmpl w:val="B986008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 w15:restartNumberingAfterBreak="0">
    <w:nsid w:val="37353D35"/>
    <w:multiLevelType w:val="hybridMultilevel"/>
    <w:tmpl w:val="A3D4AA4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5E2F05ED"/>
    <w:multiLevelType w:val="hybridMultilevel"/>
    <w:tmpl w:val="EE5E375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 w15:restartNumberingAfterBreak="0">
    <w:nsid w:val="61776729"/>
    <w:multiLevelType w:val="hybridMultilevel"/>
    <w:tmpl w:val="702E0A48"/>
    <w:lvl w:ilvl="0" w:tplc="2000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46283666">
    <w:abstractNumId w:val="0"/>
  </w:num>
  <w:num w:numId="2" w16cid:durableId="1058284240">
    <w:abstractNumId w:val="2"/>
  </w:num>
  <w:num w:numId="3" w16cid:durableId="1870333380">
    <w:abstractNumId w:val="4"/>
  </w:num>
  <w:num w:numId="4" w16cid:durableId="1499269108">
    <w:abstractNumId w:val="1"/>
  </w:num>
  <w:num w:numId="5" w16cid:durableId="39736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MTO2MDU1NbCwMDVS0lEKTi0uzszPAykwrgUAZqfKyiwAAAA="/>
  </w:docVars>
  <w:rsids>
    <w:rsidRoot w:val="00505437"/>
    <w:rsid w:val="0000117E"/>
    <w:rsid w:val="00001F67"/>
    <w:rsid w:val="00004EF3"/>
    <w:rsid w:val="000151A4"/>
    <w:rsid w:val="00016255"/>
    <w:rsid w:val="00022947"/>
    <w:rsid w:val="00024804"/>
    <w:rsid w:val="00025E00"/>
    <w:rsid w:val="00026B6C"/>
    <w:rsid w:val="000323BA"/>
    <w:rsid w:val="00034F4C"/>
    <w:rsid w:val="00045088"/>
    <w:rsid w:val="00051D2A"/>
    <w:rsid w:val="00063C5D"/>
    <w:rsid w:val="00064ADE"/>
    <w:rsid w:val="00067DD3"/>
    <w:rsid w:val="00077F16"/>
    <w:rsid w:val="00081429"/>
    <w:rsid w:val="000859FA"/>
    <w:rsid w:val="00091F3D"/>
    <w:rsid w:val="000A2986"/>
    <w:rsid w:val="000A2A90"/>
    <w:rsid w:val="000B16CA"/>
    <w:rsid w:val="000B5958"/>
    <w:rsid w:val="000B7A41"/>
    <w:rsid w:val="000B7F65"/>
    <w:rsid w:val="000C0282"/>
    <w:rsid w:val="000D7447"/>
    <w:rsid w:val="000E193F"/>
    <w:rsid w:val="000E23B7"/>
    <w:rsid w:val="000F3162"/>
    <w:rsid w:val="000F519E"/>
    <w:rsid w:val="00104753"/>
    <w:rsid w:val="00106508"/>
    <w:rsid w:val="00124095"/>
    <w:rsid w:val="00130C01"/>
    <w:rsid w:val="00131900"/>
    <w:rsid w:val="0013462A"/>
    <w:rsid w:val="001374AE"/>
    <w:rsid w:val="001422CB"/>
    <w:rsid w:val="00144A34"/>
    <w:rsid w:val="0015485F"/>
    <w:rsid w:val="00155F67"/>
    <w:rsid w:val="00162333"/>
    <w:rsid w:val="0016588C"/>
    <w:rsid w:val="00167C29"/>
    <w:rsid w:val="00174C8C"/>
    <w:rsid w:val="001755A6"/>
    <w:rsid w:val="00181339"/>
    <w:rsid w:val="001814C5"/>
    <w:rsid w:val="00195519"/>
    <w:rsid w:val="001967CF"/>
    <w:rsid w:val="001B6196"/>
    <w:rsid w:val="001B78FD"/>
    <w:rsid w:val="001C76C0"/>
    <w:rsid w:val="001C7BA6"/>
    <w:rsid w:val="001E5D70"/>
    <w:rsid w:val="001E66EA"/>
    <w:rsid w:val="001F17FE"/>
    <w:rsid w:val="001F348B"/>
    <w:rsid w:val="001F53C4"/>
    <w:rsid w:val="001F56CB"/>
    <w:rsid w:val="00200754"/>
    <w:rsid w:val="0020510C"/>
    <w:rsid w:val="00222D9C"/>
    <w:rsid w:val="0022402D"/>
    <w:rsid w:val="002248C1"/>
    <w:rsid w:val="00231AD2"/>
    <w:rsid w:val="00250537"/>
    <w:rsid w:val="00254856"/>
    <w:rsid w:val="0026191C"/>
    <w:rsid w:val="00261F0D"/>
    <w:rsid w:val="00264951"/>
    <w:rsid w:val="0026700E"/>
    <w:rsid w:val="00271461"/>
    <w:rsid w:val="0027183D"/>
    <w:rsid w:val="00284A83"/>
    <w:rsid w:val="0028743F"/>
    <w:rsid w:val="00293B1C"/>
    <w:rsid w:val="0029463A"/>
    <w:rsid w:val="0029480C"/>
    <w:rsid w:val="00297828"/>
    <w:rsid w:val="002A1A02"/>
    <w:rsid w:val="002A5078"/>
    <w:rsid w:val="002B54DA"/>
    <w:rsid w:val="002B5BDA"/>
    <w:rsid w:val="002B7DA3"/>
    <w:rsid w:val="002C1513"/>
    <w:rsid w:val="002C4E27"/>
    <w:rsid w:val="002C7AE9"/>
    <w:rsid w:val="002D1945"/>
    <w:rsid w:val="002D2414"/>
    <w:rsid w:val="002D3A41"/>
    <w:rsid w:val="002D4029"/>
    <w:rsid w:val="002E027E"/>
    <w:rsid w:val="002E6409"/>
    <w:rsid w:val="002F2AC0"/>
    <w:rsid w:val="002F50FF"/>
    <w:rsid w:val="002F74F0"/>
    <w:rsid w:val="00303BB7"/>
    <w:rsid w:val="00304409"/>
    <w:rsid w:val="00306F68"/>
    <w:rsid w:val="003071D4"/>
    <w:rsid w:val="00307989"/>
    <w:rsid w:val="0031525A"/>
    <w:rsid w:val="00321FBB"/>
    <w:rsid w:val="00326368"/>
    <w:rsid w:val="003272CF"/>
    <w:rsid w:val="003320CA"/>
    <w:rsid w:val="00332D37"/>
    <w:rsid w:val="00337139"/>
    <w:rsid w:val="003415B4"/>
    <w:rsid w:val="00341D23"/>
    <w:rsid w:val="00343574"/>
    <w:rsid w:val="00345439"/>
    <w:rsid w:val="0034561C"/>
    <w:rsid w:val="00346F26"/>
    <w:rsid w:val="00353365"/>
    <w:rsid w:val="0035670C"/>
    <w:rsid w:val="00360875"/>
    <w:rsid w:val="003623AE"/>
    <w:rsid w:val="00365966"/>
    <w:rsid w:val="00366EE4"/>
    <w:rsid w:val="00366F10"/>
    <w:rsid w:val="00372538"/>
    <w:rsid w:val="00380074"/>
    <w:rsid w:val="0038198D"/>
    <w:rsid w:val="00385A73"/>
    <w:rsid w:val="00386362"/>
    <w:rsid w:val="003865DC"/>
    <w:rsid w:val="003908D2"/>
    <w:rsid w:val="00391D23"/>
    <w:rsid w:val="00393669"/>
    <w:rsid w:val="00396C0C"/>
    <w:rsid w:val="003A14F0"/>
    <w:rsid w:val="003A4B81"/>
    <w:rsid w:val="003B21CE"/>
    <w:rsid w:val="003B5E41"/>
    <w:rsid w:val="003B6C31"/>
    <w:rsid w:val="003B7B20"/>
    <w:rsid w:val="003C0EC2"/>
    <w:rsid w:val="003C2EC4"/>
    <w:rsid w:val="003C4AB4"/>
    <w:rsid w:val="003D3A2F"/>
    <w:rsid w:val="003D448D"/>
    <w:rsid w:val="003D4A22"/>
    <w:rsid w:val="003E4FF4"/>
    <w:rsid w:val="003E65D4"/>
    <w:rsid w:val="003E68BD"/>
    <w:rsid w:val="003F4A13"/>
    <w:rsid w:val="003F6A7B"/>
    <w:rsid w:val="00406CFF"/>
    <w:rsid w:val="00407B7C"/>
    <w:rsid w:val="00416328"/>
    <w:rsid w:val="00416AF0"/>
    <w:rsid w:val="00417BDF"/>
    <w:rsid w:val="00421D22"/>
    <w:rsid w:val="004233CE"/>
    <w:rsid w:val="004259A8"/>
    <w:rsid w:val="004341BF"/>
    <w:rsid w:val="004368C7"/>
    <w:rsid w:val="004428C1"/>
    <w:rsid w:val="00442FE8"/>
    <w:rsid w:val="00443102"/>
    <w:rsid w:val="004431A0"/>
    <w:rsid w:val="00445D11"/>
    <w:rsid w:val="00446960"/>
    <w:rsid w:val="00450E5D"/>
    <w:rsid w:val="00461156"/>
    <w:rsid w:val="00461591"/>
    <w:rsid w:val="004643FA"/>
    <w:rsid w:val="0046554A"/>
    <w:rsid w:val="00467223"/>
    <w:rsid w:val="004712FC"/>
    <w:rsid w:val="00471B37"/>
    <w:rsid w:val="004775AB"/>
    <w:rsid w:val="00483DC0"/>
    <w:rsid w:val="004935E4"/>
    <w:rsid w:val="00494B24"/>
    <w:rsid w:val="004A25F4"/>
    <w:rsid w:val="004A50BF"/>
    <w:rsid w:val="004B24F3"/>
    <w:rsid w:val="004B4317"/>
    <w:rsid w:val="004B508D"/>
    <w:rsid w:val="004B6865"/>
    <w:rsid w:val="004C2155"/>
    <w:rsid w:val="004C51E7"/>
    <w:rsid w:val="004C7236"/>
    <w:rsid w:val="004C77C3"/>
    <w:rsid w:val="004D08E4"/>
    <w:rsid w:val="004D704E"/>
    <w:rsid w:val="004D74DF"/>
    <w:rsid w:val="004E1B8D"/>
    <w:rsid w:val="004E1E62"/>
    <w:rsid w:val="004E4468"/>
    <w:rsid w:val="004E4619"/>
    <w:rsid w:val="004F1039"/>
    <w:rsid w:val="004F4B48"/>
    <w:rsid w:val="00500E04"/>
    <w:rsid w:val="00503703"/>
    <w:rsid w:val="00505437"/>
    <w:rsid w:val="005058D8"/>
    <w:rsid w:val="00512C7B"/>
    <w:rsid w:val="005152C5"/>
    <w:rsid w:val="00517B26"/>
    <w:rsid w:val="00523214"/>
    <w:rsid w:val="00523A84"/>
    <w:rsid w:val="00525D29"/>
    <w:rsid w:val="00533824"/>
    <w:rsid w:val="00535463"/>
    <w:rsid w:val="00541D74"/>
    <w:rsid w:val="005449E6"/>
    <w:rsid w:val="005470D3"/>
    <w:rsid w:val="00550532"/>
    <w:rsid w:val="005631C4"/>
    <w:rsid w:val="00570DEA"/>
    <w:rsid w:val="00586C19"/>
    <w:rsid w:val="005978FC"/>
    <w:rsid w:val="005A1757"/>
    <w:rsid w:val="005A3373"/>
    <w:rsid w:val="005A662A"/>
    <w:rsid w:val="005B3233"/>
    <w:rsid w:val="005B4C6E"/>
    <w:rsid w:val="005B7C8F"/>
    <w:rsid w:val="005C02F9"/>
    <w:rsid w:val="005C2400"/>
    <w:rsid w:val="005D355B"/>
    <w:rsid w:val="005D3715"/>
    <w:rsid w:val="005E1FB1"/>
    <w:rsid w:val="005E2EB6"/>
    <w:rsid w:val="005E3AFB"/>
    <w:rsid w:val="005F2165"/>
    <w:rsid w:val="00603A67"/>
    <w:rsid w:val="006060AE"/>
    <w:rsid w:val="0060646A"/>
    <w:rsid w:val="00611BE3"/>
    <w:rsid w:val="00620153"/>
    <w:rsid w:val="0062737C"/>
    <w:rsid w:val="0063491E"/>
    <w:rsid w:val="006468A4"/>
    <w:rsid w:val="00650245"/>
    <w:rsid w:val="00664EB0"/>
    <w:rsid w:val="006664A6"/>
    <w:rsid w:val="006668A8"/>
    <w:rsid w:val="0066754E"/>
    <w:rsid w:val="00671D14"/>
    <w:rsid w:val="006730C6"/>
    <w:rsid w:val="00673D7F"/>
    <w:rsid w:val="006741FA"/>
    <w:rsid w:val="00674C72"/>
    <w:rsid w:val="00675882"/>
    <w:rsid w:val="006763B1"/>
    <w:rsid w:val="00681391"/>
    <w:rsid w:val="00682760"/>
    <w:rsid w:val="00684A7C"/>
    <w:rsid w:val="00690B1E"/>
    <w:rsid w:val="006924B8"/>
    <w:rsid w:val="0069317E"/>
    <w:rsid w:val="00695336"/>
    <w:rsid w:val="006A0CA5"/>
    <w:rsid w:val="006A5DE0"/>
    <w:rsid w:val="006B1822"/>
    <w:rsid w:val="006B7D9B"/>
    <w:rsid w:val="006C4BF3"/>
    <w:rsid w:val="006C74D7"/>
    <w:rsid w:val="006D0190"/>
    <w:rsid w:val="006D0502"/>
    <w:rsid w:val="006D254C"/>
    <w:rsid w:val="006D5251"/>
    <w:rsid w:val="006E0B66"/>
    <w:rsid w:val="006E4C2A"/>
    <w:rsid w:val="006E59DC"/>
    <w:rsid w:val="006E5D8D"/>
    <w:rsid w:val="006F5117"/>
    <w:rsid w:val="006F6DC6"/>
    <w:rsid w:val="00702673"/>
    <w:rsid w:val="007071CA"/>
    <w:rsid w:val="0071103A"/>
    <w:rsid w:val="00715D28"/>
    <w:rsid w:val="00721DF7"/>
    <w:rsid w:val="00732ED8"/>
    <w:rsid w:val="0073326C"/>
    <w:rsid w:val="00734572"/>
    <w:rsid w:val="00741E81"/>
    <w:rsid w:val="00745EFB"/>
    <w:rsid w:val="00752ACA"/>
    <w:rsid w:val="007618E4"/>
    <w:rsid w:val="00761E68"/>
    <w:rsid w:val="007671FD"/>
    <w:rsid w:val="0077574C"/>
    <w:rsid w:val="007759BD"/>
    <w:rsid w:val="00781ED2"/>
    <w:rsid w:val="0078450A"/>
    <w:rsid w:val="007904E7"/>
    <w:rsid w:val="00790A42"/>
    <w:rsid w:val="00791B4F"/>
    <w:rsid w:val="007920D0"/>
    <w:rsid w:val="007B4B7F"/>
    <w:rsid w:val="007C3554"/>
    <w:rsid w:val="007C477C"/>
    <w:rsid w:val="007C4FB6"/>
    <w:rsid w:val="007D0EBD"/>
    <w:rsid w:val="007D3ACB"/>
    <w:rsid w:val="007D436E"/>
    <w:rsid w:val="007D52D5"/>
    <w:rsid w:val="007E1402"/>
    <w:rsid w:val="007E68DA"/>
    <w:rsid w:val="007F2F5F"/>
    <w:rsid w:val="00801A24"/>
    <w:rsid w:val="00802841"/>
    <w:rsid w:val="008103B3"/>
    <w:rsid w:val="00815B92"/>
    <w:rsid w:val="00816AD2"/>
    <w:rsid w:val="00827923"/>
    <w:rsid w:val="0083212C"/>
    <w:rsid w:val="00844A07"/>
    <w:rsid w:val="00844B9C"/>
    <w:rsid w:val="00846714"/>
    <w:rsid w:val="008470DD"/>
    <w:rsid w:val="008560D3"/>
    <w:rsid w:val="00856A53"/>
    <w:rsid w:val="00863B1C"/>
    <w:rsid w:val="00887BC3"/>
    <w:rsid w:val="00893B87"/>
    <w:rsid w:val="008967AA"/>
    <w:rsid w:val="008A5DD7"/>
    <w:rsid w:val="008B3747"/>
    <w:rsid w:val="008C652C"/>
    <w:rsid w:val="008C7639"/>
    <w:rsid w:val="008D75DC"/>
    <w:rsid w:val="008D786B"/>
    <w:rsid w:val="008F13A0"/>
    <w:rsid w:val="008F480A"/>
    <w:rsid w:val="008F53CF"/>
    <w:rsid w:val="008F5F83"/>
    <w:rsid w:val="00901768"/>
    <w:rsid w:val="00901A8E"/>
    <w:rsid w:val="0090276C"/>
    <w:rsid w:val="00914902"/>
    <w:rsid w:val="00921FFC"/>
    <w:rsid w:val="00922AA1"/>
    <w:rsid w:val="009259EC"/>
    <w:rsid w:val="00931FCF"/>
    <w:rsid w:val="00933AF6"/>
    <w:rsid w:val="00940C5E"/>
    <w:rsid w:val="00942A2F"/>
    <w:rsid w:val="00943CAD"/>
    <w:rsid w:val="00951DA7"/>
    <w:rsid w:val="00951DA8"/>
    <w:rsid w:val="0095227E"/>
    <w:rsid w:val="009562AB"/>
    <w:rsid w:val="0095726D"/>
    <w:rsid w:val="00957B4C"/>
    <w:rsid w:val="00961933"/>
    <w:rsid w:val="009636F5"/>
    <w:rsid w:val="00966461"/>
    <w:rsid w:val="00966918"/>
    <w:rsid w:val="00966F3C"/>
    <w:rsid w:val="00967335"/>
    <w:rsid w:val="00967411"/>
    <w:rsid w:val="009737AE"/>
    <w:rsid w:val="0097392E"/>
    <w:rsid w:val="00974C89"/>
    <w:rsid w:val="00976854"/>
    <w:rsid w:val="009845D9"/>
    <w:rsid w:val="00985412"/>
    <w:rsid w:val="00987C92"/>
    <w:rsid w:val="00987D20"/>
    <w:rsid w:val="009A127A"/>
    <w:rsid w:val="009A4C16"/>
    <w:rsid w:val="009A501D"/>
    <w:rsid w:val="009A6C84"/>
    <w:rsid w:val="009B7DD8"/>
    <w:rsid w:val="009C7EED"/>
    <w:rsid w:val="009D10EC"/>
    <w:rsid w:val="009D4F6E"/>
    <w:rsid w:val="009E0631"/>
    <w:rsid w:val="009E2170"/>
    <w:rsid w:val="009E222E"/>
    <w:rsid w:val="009E29C9"/>
    <w:rsid w:val="009E56A6"/>
    <w:rsid w:val="009E5FC4"/>
    <w:rsid w:val="009E7EEC"/>
    <w:rsid w:val="009F2CB1"/>
    <w:rsid w:val="009F6A87"/>
    <w:rsid w:val="009F6BBE"/>
    <w:rsid w:val="00A13748"/>
    <w:rsid w:val="00A156EF"/>
    <w:rsid w:val="00A157B8"/>
    <w:rsid w:val="00A1705E"/>
    <w:rsid w:val="00A20EDB"/>
    <w:rsid w:val="00A235AA"/>
    <w:rsid w:val="00A31E7B"/>
    <w:rsid w:val="00A345A5"/>
    <w:rsid w:val="00A34669"/>
    <w:rsid w:val="00A34BA2"/>
    <w:rsid w:val="00A3648A"/>
    <w:rsid w:val="00A43106"/>
    <w:rsid w:val="00A47C5B"/>
    <w:rsid w:val="00A5483F"/>
    <w:rsid w:val="00A61487"/>
    <w:rsid w:val="00A637E8"/>
    <w:rsid w:val="00A72C95"/>
    <w:rsid w:val="00A74B63"/>
    <w:rsid w:val="00A80270"/>
    <w:rsid w:val="00A829E4"/>
    <w:rsid w:val="00A834F4"/>
    <w:rsid w:val="00AA353A"/>
    <w:rsid w:val="00AA6708"/>
    <w:rsid w:val="00AB0F32"/>
    <w:rsid w:val="00AB39C8"/>
    <w:rsid w:val="00AC0D15"/>
    <w:rsid w:val="00AD2A92"/>
    <w:rsid w:val="00AD5366"/>
    <w:rsid w:val="00AD5BB3"/>
    <w:rsid w:val="00AE44C6"/>
    <w:rsid w:val="00AF03C2"/>
    <w:rsid w:val="00AF4292"/>
    <w:rsid w:val="00B026D9"/>
    <w:rsid w:val="00B040A8"/>
    <w:rsid w:val="00B0458D"/>
    <w:rsid w:val="00B06923"/>
    <w:rsid w:val="00B0702B"/>
    <w:rsid w:val="00B1042B"/>
    <w:rsid w:val="00B1103F"/>
    <w:rsid w:val="00B1448A"/>
    <w:rsid w:val="00B14676"/>
    <w:rsid w:val="00B20530"/>
    <w:rsid w:val="00B2247F"/>
    <w:rsid w:val="00B22E1D"/>
    <w:rsid w:val="00B30407"/>
    <w:rsid w:val="00B35D60"/>
    <w:rsid w:val="00B4028A"/>
    <w:rsid w:val="00B44F75"/>
    <w:rsid w:val="00B5072C"/>
    <w:rsid w:val="00B560FD"/>
    <w:rsid w:val="00B56DE8"/>
    <w:rsid w:val="00B6370F"/>
    <w:rsid w:val="00B67B35"/>
    <w:rsid w:val="00B7050D"/>
    <w:rsid w:val="00B7291F"/>
    <w:rsid w:val="00B76834"/>
    <w:rsid w:val="00B96816"/>
    <w:rsid w:val="00B97D27"/>
    <w:rsid w:val="00BA2F80"/>
    <w:rsid w:val="00BA3DE5"/>
    <w:rsid w:val="00BB3081"/>
    <w:rsid w:val="00BB4E0A"/>
    <w:rsid w:val="00BB70EF"/>
    <w:rsid w:val="00BC3E9A"/>
    <w:rsid w:val="00BC50A3"/>
    <w:rsid w:val="00BC6AFD"/>
    <w:rsid w:val="00BD425F"/>
    <w:rsid w:val="00BD4E1C"/>
    <w:rsid w:val="00BE086A"/>
    <w:rsid w:val="00BE0A4A"/>
    <w:rsid w:val="00BE5F2A"/>
    <w:rsid w:val="00BF03E0"/>
    <w:rsid w:val="00BF5CD3"/>
    <w:rsid w:val="00BF754D"/>
    <w:rsid w:val="00C00279"/>
    <w:rsid w:val="00C0061F"/>
    <w:rsid w:val="00C036B4"/>
    <w:rsid w:val="00C04F31"/>
    <w:rsid w:val="00C059D6"/>
    <w:rsid w:val="00C11CC0"/>
    <w:rsid w:val="00C177C4"/>
    <w:rsid w:val="00C20387"/>
    <w:rsid w:val="00C20D2E"/>
    <w:rsid w:val="00C20DF5"/>
    <w:rsid w:val="00C25D40"/>
    <w:rsid w:val="00C27A45"/>
    <w:rsid w:val="00C3130F"/>
    <w:rsid w:val="00C33A2C"/>
    <w:rsid w:val="00C43A63"/>
    <w:rsid w:val="00C508A2"/>
    <w:rsid w:val="00C5125A"/>
    <w:rsid w:val="00C52A22"/>
    <w:rsid w:val="00C54169"/>
    <w:rsid w:val="00C6161A"/>
    <w:rsid w:val="00C65331"/>
    <w:rsid w:val="00C72916"/>
    <w:rsid w:val="00C73993"/>
    <w:rsid w:val="00C74B7B"/>
    <w:rsid w:val="00C7563B"/>
    <w:rsid w:val="00C81AF2"/>
    <w:rsid w:val="00C82EB1"/>
    <w:rsid w:val="00C83E5E"/>
    <w:rsid w:val="00C84900"/>
    <w:rsid w:val="00C852BE"/>
    <w:rsid w:val="00C874AE"/>
    <w:rsid w:val="00C9274F"/>
    <w:rsid w:val="00C9618E"/>
    <w:rsid w:val="00CB4B99"/>
    <w:rsid w:val="00CC075D"/>
    <w:rsid w:val="00CC0D00"/>
    <w:rsid w:val="00CD1C14"/>
    <w:rsid w:val="00CD2DC5"/>
    <w:rsid w:val="00CD37E7"/>
    <w:rsid w:val="00CD5495"/>
    <w:rsid w:val="00CE7CD3"/>
    <w:rsid w:val="00CF2B42"/>
    <w:rsid w:val="00D026BD"/>
    <w:rsid w:val="00D10C35"/>
    <w:rsid w:val="00D11251"/>
    <w:rsid w:val="00D12B63"/>
    <w:rsid w:val="00D13696"/>
    <w:rsid w:val="00D1589E"/>
    <w:rsid w:val="00D15EFC"/>
    <w:rsid w:val="00D1616F"/>
    <w:rsid w:val="00D30A11"/>
    <w:rsid w:val="00D34236"/>
    <w:rsid w:val="00D3748B"/>
    <w:rsid w:val="00D405B3"/>
    <w:rsid w:val="00D412C8"/>
    <w:rsid w:val="00D54FD9"/>
    <w:rsid w:val="00D563A6"/>
    <w:rsid w:val="00D744BA"/>
    <w:rsid w:val="00D75072"/>
    <w:rsid w:val="00D754E2"/>
    <w:rsid w:val="00D75D67"/>
    <w:rsid w:val="00D81AD6"/>
    <w:rsid w:val="00D843DC"/>
    <w:rsid w:val="00D84FA6"/>
    <w:rsid w:val="00D86CC4"/>
    <w:rsid w:val="00D97323"/>
    <w:rsid w:val="00DA244E"/>
    <w:rsid w:val="00DA2813"/>
    <w:rsid w:val="00DA2EB5"/>
    <w:rsid w:val="00DA779F"/>
    <w:rsid w:val="00DB357C"/>
    <w:rsid w:val="00DB5CA5"/>
    <w:rsid w:val="00DC0CAA"/>
    <w:rsid w:val="00DC7E42"/>
    <w:rsid w:val="00DD0BE7"/>
    <w:rsid w:val="00DD4BC6"/>
    <w:rsid w:val="00DE5A2D"/>
    <w:rsid w:val="00DF110F"/>
    <w:rsid w:val="00DF1119"/>
    <w:rsid w:val="00DF3C5F"/>
    <w:rsid w:val="00E0175C"/>
    <w:rsid w:val="00E017D5"/>
    <w:rsid w:val="00E01915"/>
    <w:rsid w:val="00E02E2A"/>
    <w:rsid w:val="00E030F7"/>
    <w:rsid w:val="00E032D5"/>
    <w:rsid w:val="00E03A50"/>
    <w:rsid w:val="00E0422E"/>
    <w:rsid w:val="00E04289"/>
    <w:rsid w:val="00E05874"/>
    <w:rsid w:val="00E06382"/>
    <w:rsid w:val="00E118E0"/>
    <w:rsid w:val="00E152CF"/>
    <w:rsid w:val="00E3319E"/>
    <w:rsid w:val="00E37CE9"/>
    <w:rsid w:val="00E40C7F"/>
    <w:rsid w:val="00E4405E"/>
    <w:rsid w:val="00E5433B"/>
    <w:rsid w:val="00E63BC0"/>
    <w:rsid w:val="00E6670B"/>
    <w:rsid w:val="00E77FDC"/>
    <w:rsid w:val="00E82134"/>
    <w:rsid w:val="00EA458E"/>
    <w:rsid w:val="00EA58F4"/>
    <w:rsid w:val="00EB20A3"/>
    <w:rsid w:val="00EB735A"/>
    <w:rsid w:val="00EC0358"/>
    <w:rsid w:val="00EC0BF7"/>
    <w:rsid w:val="00EC3807"/>
    <w:rsid w:val="00EC7A12"/>
    <w:rsid w:val="00EC7ADD"/>
    <w:rsid w:val="00ED3E8D"/>
    <w:rsid w:val="00EE0095"/>
    <w:rsid w:val="00EE2CE9"/>
    <w:rsid w:val="00EE3B15"/>
    <w:rsid w:val="00EE6574"/>
    <w:rsid w:val="00EF4C8E"/>
    <w:rsid w:val="00EF7C22"/>
    <w:rsid w:val="00F00FE9"/>
    <w:rsid w:val="00F050A0"/>
    <w:rsid w:val="00F05DA7"/>
    <w:rsid w:val="00F10FFA"/>
    <w:rsid w:val="00F11518"/>
    <w:rsid w:val="00F23E7F"/>
    <w:rsid w:val="00F25D0E"/>
    <w:rsid w:val="00F27D87"/>
    <w:rsid w:val="00F34919"/>
    <w:rsid w:val="00F36EC0"/>
    <w:rsid w:val="00F41C89"/>
    <w:rsid w:val="00F42C68"/>
    <w:rsid w:val="00F518AB"/>
    <w:rsid w:val="00F53DC5"/>
    <w:rsid w:val="00F613D2"/>
    <w:rsid w:val="00F62031"/>
    <w:rsid w:val="00F62464"/>
    <w:rsid w:val="00F67F51"/>
    <w:rsid w:val="00F72053"/>
    <w:rsid w:val="00F72E5C"/>
    <w:rsid w:val="00F75036"/>
    <w:rsid w:val="00F92A50"/>
    <w:rsid w:val="00F94D0E"/>
    <w:rsid w:val="00F96314"/>
    <w:rsid w:val="00FA27E6"/>
    <w:rsid w:val="00FA2872"/>
    <w:rsid w:val="00FA3291"/>
    <w:rsid w:val="00FA6172"/>
    <w:rsid w:val="00FB17F5"/>
    <w:rsid w:val="00FB236A"/>
    <w:rsid w:val="00FB2AB3"/>
    <w:rsid w:val="00FB4303"/>
    <w:rsid w:val="00FB44CB"/>
    <w:rsid w:val="00FB492A"/>
    <w:rsid w:val="00FB6890"/>
    <w:rsid w:val="00FC3BCE"/>
    <w:rsid w:val="00FD0A39"/>
    <w:rsid w:val="00FD3916"/>
    <w:rsid w:val="00FD62F2"/>
    <w:rsid w:val="00FD7BDF"/>
    <w:rsid w:val="00FD7F8C"/>
    <w:rsid w:val="00FE4D44"/>
    <w:rsid w:val="00FE6BC7"/>
    <w:rsid w:val="00FF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53F6"/>
  <w15:chartTrackingRefBased/>
  <w15:docId w15:val="{BB1278FD-EDCF-4A6A-89D5-6A409084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7A12"/>
    <w:rPr>
      <w:color w:val="0563C1"/>
      <w:u w:val="single"/>
    </w:rPr>
  </w:style>
  <w:style w:type="paragraph" w:styleId="Header">
    <w:name w:val="header"/>
    <w:basedOn w:val="Normal"/>
    <w:link w:val="HeaderChar"/>
    <w:uiPriority w:val="99"/>
    <w:unhideWhenUsed/>
    <w:rsid w:val="003320CA"/>
    <w:pPr>
      <w:tabs>
        <w:tab w:val="center" w:pos="4513"/>
        <w:tab w:val="right" w:pos="9026"/>
      </w:tabs>
    </w:pPr>
  </w:style>
  <w:style w:type="character" w:customStyle="1" w:styleId="HeaderChar">
    <w:name w:val="Header Char"/>
    <w:link w:val="Header"/>
    <w:uiPriority w:val="99"/>
    <w:rsid w:val="003320CA"/>
    <w:rPr>
      <w:sz w:val="22"/>
      <w:szCs w:val="22"/>
      <w:lang w:val="en-US" w:eastAsia="en-US"/>
    </w:rPr>
  </w:style>
  <w:style w:type="paragraph" w:styleId="Footer">
    <w:name w:val="footer"/>
    <w:basedOn w:val="Normal"/>
    <w:link w:val="FooterChar"/>
    <w:uiPriority w:val="99"/>
    <w:unhideWhenUsed/>
    <w:rsid w:val="003320CA"/>
    <w:pPr>
      <w:tabs>
        <w:tab w:val="center" w:pos="4513"/>
        <w:tab w:val="right" w:pos="9026"/>
      </w:tabs>
    </w:pPr>
  </w:style>
  <w:style w:type="character" w:customStyle="1" w:styleId="FooterChar">
    <w:name w:val="Footer Char"/>
    <w:link w:val="Footer"/>
    <w:uiPriority w:val="99"/>
    <w:rsid w:val="003320CA"/>
    <w:rPr>
      <w:sz w:val="22"/>
      <w:szCs w:val="22"/>
      <w:lang w:val="en-US" w:eastAsia="en-US"/>
    </w:rPr>
  </w:style>
  <w:style w:type="character" w:styleId="CommentReference">
    <w:name w:val="annotation reference"/>
    <w:basedOn w:val="DefaultParagraphFont"/>
    <w:uiPriority w:val="99"/>
    <w:semiHidden/>
    <w:unhideWhenUsed/>
    <w:rsid w:val="00A1705E"/>
    <w:rPr>
      <w:sz w:val="16"/>
      <w:szCs w:val="16"/>
    </w:rPr>
  </w:style>
  <w:style w:type="paragraph" w:styleId="CommentText">
    <w:name w:val="annotation text"/>
    <w:basedOn w:val="Normal"/>
    <w:link w:val="CommentTextChar"/>
    <w:uiPriority w:val="99"/>
    <w:semiHidden/>
    <w:unhideWhenUsed/>
    <w:rsid w:val="00A1705E"/>
    <w:pPr>
      <w:spacing w:line="240" w:lineRule="auto"/>
    </w:pPr>
    <w:rPr>
      <w:sz w:val="20"/>
      <w:szCs w:val="20"/>
    </w:rPr>
  </w:style>
  <w:style w:type="character" w:customStyle="1" w:styleId="CommentTextChar">
    <w:name w:val="Comment Text Char"/>
    <w:basedOn w:val="DefaultParagraphFont"/>
    <w:link w:val="CommentText"/>
    <w:uiPriority w:val="99"/>
    <w:semiHidden/>
    <w:rsid w:val="00A1705E"/>
  </w:style>
  <w:style w:type="paragraph" w:styleId="CommentSubject">
    <w:name w:val="annotation subject"/>
    <w:basedOn w:val="CommentText"/>
    <w:next w:val="CommentText"/>
    <w:link w:val="CommentSubjectChar"/>
    <w:uiPriority w:val="99"/>
    <w:semiHidden/>
    <w:unhideWhenUsed/>
    <w:rsid w:val="00A1705E"/>
    <w:rPr>
      <w:b/>
      <w:bCs/>
    </w:rPr>
  </w:style>
  <w:style w:type="character" w:customStyle="1" w:styleId="CommentSubjectChar">
    <w:name w:val="Comment Subject Char"/>
    <w:basedOn w:val="CommentTextChar"/>
    <w:link w:val="CommentSubject"/>
    <w:uiPriority w:val="99"/>
    <w:semiHidden/>
    <w:rsid w:val="00A17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re.edu.au/08pap/oro087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Links>
    <vt:vector size="6" baseType="variant">
      <vt:variant>
        <vt:i4>5374016</vt:i4>
      </vt:variant>
      <vt:variant>
        <vt:i4>0</vt:i4>
      </vt:variant>
      <vt:variant>
        <vt:i4>0</vt:i4>
      </vt:variant>
      <vt:variant>
        <vt:i4>5</vt:i4>
      </vt:variant>
      <vt:variant>
        <vt:lpwstr>http://www.aare.edu.au/08pap/oro08799.pdf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Duke</cp:lastModifiedBy>
  <cp:revision>14</cp:revision>
  <dcterms:created xsi:type="dcterms:W3CDTF">2022-10-21T20:50:00Z</dcterms:created>
  <dcterms:modified xsi:type="dcterms:W3CDTF">2022-10-21T21:53:00Z</dcterms:modified>
</cp:coreProperties>
</file>